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56C9F" w14:textId="77777777" w:rsidR="00A52489" w:rsidRPr="00D22F15" w:rsidRDefault="00A52489" w:rsidP="00A52489">
      <w:pPr>
        <w:autoSpaceDE w:val="0"/>
        <w:autoSpaceDN w:val="0"/>
        <w:adjustRightInd w:val="0"/>
        <w:spacing w:after="0"/>
        <w:jc w:val="center"/>
        <w:rPr>
          <w:rFonts w:ascii="Arial" w:hAnsi="Arial" w:cs="Arial"/>
          <w:b/>
          <w:bCs/>
          <w:sz w:val="44"/>
          <w:szCs w:val="44"/>
        </w:rPr>
      </w:pPr>
      <w:r w:rsidRPr="00D22F15">
        <w:rPr>
          <w:rFonts w:ascii="Arial" w:hAnsi="Arial" w:cs="Arial"/>
          <w:b/>
          <w:bCs/>
          <w:sz w:val="44"/>
          <w:szCs w:val="44"/>
        </w:rPr>
        <w:t>2020 Schooling in America Survey</w:t>
      </w:r>
    </w:p>
    <w:p w14:paraId="0894EB8D" w14:textId="77777777" w:rsidR="00A52489" w:rsidRPr="00D22F15" w:rsidRDefault="00A52489" w:rsidP="00A52489">
      <w:pPr>
        <w:autoSpaceDE w:val="0"/>
        <w:autoSpaceDN w:val="0"/>
        <w:adjustRightInd w:val="0"/>
        <w:spacing w:after="0"/>
        <w:jc w:val="center"/>
        <w:rPr>
          <w:rFonts w:ascii="Arial" w:hAnsi="Arial" w:cs="Arial"/>
          <w:b/>
          <w:bCs/>
          <w:sz w:val="40"/>
          <w:szCs w:val="40"/>
        </w:rPr>
      </w:pPr>
      <w:r w:rsidRPr="00D22F15">
        <w:rPr>
          <w:rFonts w:ascii="Arial" w:hAnsi="Arial" w:cs="Arial"/>
          <w:b/>
          <w:bCs/>
          <w:sz w:val="44"/>
          <w:szCs w:val="44"/>
        </w:rPr>
        <w:t>Survey Methods</w:t>
      </w:r>
    </w:p>
    <w:p w14:paraId="541D4741" w14:textId="77777777" w:rsidR="00A52489" w:rsidRDefault="00A52489" w:rsidP="00A52489">
      <w:pPr>
        <w:autoSpaceDE w:val="0"/>
        <w:autoSpaceDN w:val="0"/>
        <w:adjustRightInd w:val="0"/>
        <w:spacing w:after="0"/>
        <w:jc w:val="center"/>
        <w:rPr>
          <w:rFonts w:ascii="Arial" w:hAnsi="Arial" w:cs="Arial"/>
          <w:b/>
          <w:bCs/>
          <w:sz w:val="24"/>
          <w:szCs w:val="24"/>
        </w:rPr>
      </w:pPr>
    </w:p>
    <w:p w14:paraId="024369F3" w14:textId="725695B7" w:rsidR="00A52489" w:rsidRPr="00D22F15" w:rsidRDefault="00A52489" w:rsidP="00A52489">
      <w:pPr>
        <w:autoSpaceDE w:val="0"/>
        <w:autoSpaceDN w:val="0"/>
        <w:adjustRightInd w:val="0"/>
        <w:spacing w:after="0"/>
        <w:jc w:val="center"/>
        <w:rPr>
          <w:rFonts w:ascii="Arial" w:hAnsi="Arial" w:cs="Arial"/>
          <w:b/>
          <w:bCs/>
          <w:sz w:val="28"/>
          <w:szCs w:val="28"/>
        </w:rPr>
      </w:pPr>
      <w:r w:rsidRPr="00D22F15">
        <w:rPr>
          <w:rFonts w:ascii="Arial" w:hAnsi="Arial" w:cs="Arial"/>
          <w:b/>
          <w:bCs/>
          <w:sz w:val="28"/>
          <w:szCs w:val="28"/>
        </w:rPr>
        <w:t xml:space="preserve">Wave </w:t>
      </w:r>
      <w:r w:rsidR="0014717B">
        <w:rPr>
          <w:rFonts w:ascii="Arial" w:hAnsi="Arial" w:cs="Arial"/>
          <w:b/>
          <w:bCs/>
          <w:sz w:val="28"/>
          <w:szCs w:val="28"/>
        </w:rPr>
        <w:t>2</w:t>
      </w:r>
      <w:r w:rsidRPr="00D22F15">
        <w:rPr>
          <w:rFonts w:ascii="Arial" w:hAnsi="Arial" w:cs="Arial"/>
          <w:b/>
          <w:bCs/>
          <w:sz w:val="28"/>
          <w:szCs w:val="28"/>
        </w:rPr>
        <w:t xml:space="preserve">: </w:t>
      </w:r>
      <w:r w:rsidR="0014717B">
        <w:rPr>
          <w:rFonts w:ascii="Arial" w:hAnsi="Arial" w:cs="Arial"/>
          <w:b/>
          <w:bCs/>
          <w:sz w:val="28"/>
          <w:szCs w:val="28"/>
        </w:rPr>
        <w:t xml:space="preserve">September 30 </w:t>
      </w:r>
      <w:r w:rsidRPr="00D22F15">
        <w:rPr>
          <w:rFonts w:ascii="Arial" w:hAnsi="Arial" w:cs="Arial"/>
          <w:b/>
          <w:bCs/>
          <w:sz w:val="28"/>
          <w:szCs w:val="28"/>
        </w:rPr>
        <w:t xml:space="preserve">to </w:t>
      </w:r>
      <w:r w:rsidR="0014717B">
        <w:rPr>
          <w:rFonts w:ascii="Arial" w:hAnsi="Arial" w:cs="Arial"/>
          <w:b/>
          <w:bCs/>
          <w:sz w:val="28"/>
          <w:szCs w:val="28"/>
        </w:rPr>
        <w:t xml:space="preserve">October </w:t>
      </w:r>
      <w:r w:rsidR="009A7F47">
        <w:rPr>
          <w:rFonts w:ascii="Arial" w:hAnsi="Arial" w:cs="Arial"/>
          <w:b/>
          <w:bCs/>
          <w:sz w:val="28"/>
          <w:szCs w:val="28"/>
        </w:rPr>
        <w:t>20</w:t>
      </w:r>
      <w:r w:rsidRPr="00D22F15">
        <w:rPr>
          <w:rFonts w:ascii="Arial" w:hAnsi="Arial" w:cs="Arial"/>
          <w:b/>
          <w:bCs/>
          <w:sz w:val="28"/>
          <w:szCs w:val="28"/>
        </w:rPr>
        <w:t>, 2020</w:t>
      </w:r>
    </w:p>
    <w:p w14:paraId="6F4440E1" w14:textId="77777777" w:rsidR="00A52489" w:rsidRPr="00D22F15" w:rsidRDefault="00A52489" w:rsidP="00A52489">
      <w:pPr>
        <w:autoSpaceDE w:val="0"/>
        <w:autoSpaceDN w:val="0"/>
        <w:adjustRightInd w:val="0"/>
        <w:spacing w:after="0"/>
        <w:jc w:val="center"/>
        <w:rPr>
          <w:rFonts w:ascii="Arial" w:hAnsi="Arial" w:cs="Arial"/>
          <w:b/>
          <w:bCs/>
          <w:sz w:val="24"/>
          <w:szCs w:val="24"/>
        </w:rPr>
      </w:pPr>
    </w:p>
    <w:p w14:paraId="2879DB06" w14:textId="114D2D93" w:rsidR="00A52489" w:rsidRPr="00D22F15" w:rsidRDefault="00A52489" w:rsidP="00A52489">
      <w:pPr>
        <w:autoSpaceDE w:val="0"/>
        <w:autoSpaceDN w:val="0"/>
        <w:adjustRightInd w:val="0"/>
        <w:spacing w:after="0"/>
        <w:jc w:val="center"/>
        <w:rPr>
          <w:rFonts w:ascii="Arial" w:hAnsi="Arial" w:cs="Arial"/>
          <w:b/>
          <w:bCs/>
          <w:sz w:val="28"/>
          <w:szCs w:val="28"/>
        </w:rPr>
      </w:pPr>
      <w:r w:rsidRPr="00D22F15">
        <w:rPr>
          <w:rFonts w:ascii="Arial" w:hAnsi="Arial" w:cs="Arial"/>
          <w:b/>
          <w:bCs/>
          <w:sz w:val="28"/>
          <w:szCs w:val="28"/>
        </w:rPr>
        <w:t>General Population Sample = 1,</w:t>
      </w:r>
      <w:r w:rsidR="00F73A25">
        <w:rPr>
          <w:rFonts w:ascii="Arial" w:hAnsi="Arial" w:cs="Arial"/>
          <w:b/>
          <w:bCs/>
          <w:sz w:val="28"/>
          <w:szCs w:val="28"/>
        </w:rPr>
        <w:t>209</w:t>
      </w:r>
    </w:p>
    <w:p w14:paraId="65D43325" w14:textId="5370CC1B" w:rsidR="00A52489" w:rsidRPr="00D22F15" w:rsidRDefault="00A52489" w:rsidP="00A52489">
      <w:pPr>
        <w:autoSpaceDE w:val="0"/>
        <w:autoSpaceDN w:val="0"/>
        <w:adjustRightInd w:val="0"/>
        <w:spacing w:after="0"/>
        <w:jc w:val="center"/>
        <w:rPr>
          <w:rFonts w:ascii="Arial" w:hAnsi="Arial" w:cs="Arial"/>
          <w:b/>
          <w:bCs/>
          <w:sz w:val="28"/>
          <w:szCs w:val="28"/>
        </w:rPr>
      </w:pPr>
      <w:r w:rsidRPr="00D22F15">
        <w:rPr>
          <w:rFonts w:ascii="Arial" w:hAnsi="Arial" w:cs="Arial"/>
          <w:b/>
          <w:bCs/>
          <w:sz w:val="28"/>
          <w:szCs w:val="28"/>
        </w:rPr>
        <w:t xml:space="preserve">Current School Parents Sample = </w:t>
      </w:r>
      <w:r w:rsidR="00F73A25">
        <w:rPr>
          <w:rFonts w:ascii="Arial" w:hAnsi="Arial" w:cs="Arial"/>
          <w:b/>
          <w:bCs/>
          <w:sz w:val="28"/>
          <w:szCs w:val="28"/>
        </w:rPr>
        <w:t>1,677</w:t>
      </w:r>
    </w:p>
    <w:p w14:paraId="18BAF49A" w14:textId="77777777" w:rsidR="00A52489" w:rsidRDefault="00A52489" w:rsidP="00A52489">
      <w:pPr>
        <w:autoSpaceDE w:val="0"/>
        <w:autoSpaceDN w:val="0"/>
        <w:adjustRightInd w:val="0"/>
        <w:spacing w:after="0"/>
        <w:jc w:val="center"/>
        <w:rPr>
          <w:rFonts w:ascii="Arial" w:hAnsi="Arial" w:cs="Arial"/>
          <w:b/>
          <w:bCs/>
          <w:sz w:val="24"/>
          <w:szCs w:val="24"/>
        </w:rPr>
      </w:pPr>
    </w:p>
    <w:p w14:paraId="57466979" w14:textId="77777777" w:rsidR="00A52489" w:rsidRDefault="00A52489" w:rsidP="00A52489">
      <w:pPr>
        <w:autoSpaceDE w:val="0"/>
        <w:autoSpaceDN w:val="0"/>
        <w:adjustRightInd w:val="0"/>
        <w:spacing w:after="0"/>
        <w:jc w:val="center"/>
        <w:rPr>
          <w:rFonts w:ascii="Arial" w:hAnsi="Arial" w:cs="Arial"/>
          <w:b/>
          <w:bCs/>
          <w:sz w:val="24"/>
          <w:szCs w:val="24"/>
        </w:rPr>
      </w:pPr>
    </w:p>
    <w:p w14:paraId="43492345" w14:textId="77777777" w:rsidR="00A52489" w:rsidRPr="008325E2" w:rsidRDefault="00A52489" w:rsidP="00A52489">
      <w:pPr>
        <w:autoSpaceDE w:val="0"/>
        <w:autoSpaceDN w:val="0"/>
        <w:adjustRightInd w:val="0"/>
        <w:spacing w:after="0"/>
        <w:rPr>
          <w:rFonts w:ascii="Arial" w:hAnsi="Arial" w:cs="Arial"/>
          <w:i/>
          <w:iCs/>
          <w:sz w:val="28"/>
          <w:szCs w:val="28"/>
        </w:rPr>
      </w:pPr>
      <w:r w:rsidRPr="008325E2">
        <w:rPr>
          <w:rFonts w:ascii="Arial" w:hAnsi="Arial" w:cs="Arial"/>
          <w:b/>
          <w:bCs/>
          <w:sz w:val="28"/>
          <w:szCs w:val="28"/>
        </w:rPr>
        <w:t xml:space="preserve">EdChoice, </w:t>
      </w:r>
      <w:r w:rsidRPr="008325E2">
        <w:rPr>
          <w:rFonts w:ascii="Arial" w:hAnsi="Arial" w:cs="Arial"/>
          <w:i/>
          <w:iCs/>
          <w:sz w:val="28"/>
          <w:szCs w:val="28"/>
        </w:rPr>
        <w:t>Survey Sponsor and Developer</w:t>
      </w:r>
    </w:p>
    <w:p w14:paraId="67DADF83" w14:textId="77777777" w:rsidR="00A52489" w:rsidRPr="008325E2" w:rsidRDefault="00A52489" w:rsidP="00A52489">
      <w:pPr>
        <w:spacing w:after="0"/>
        <w:rPr>
          <w:rFonts w:ascii="Arial" w:hAnsi="Arial" w:cs="Arial"/>
          <w:sz w:val="24"/>
          <w:szCs w:val="24"/>
        </w:rPr>
      </w:pPr>
      <w:r w:rsidRPr="008325E2">
        <w:rPr>
          <w:rFonts w:ascii="Arial" w:hAnsi="Arial" w:cs="Arial"/>
          <w:b/>
          <w:bCs/>
          <w:sz w:val="28"/>
          <w:szCs w:val="28"/>
        </w:rPr>
        <w:t xml:space="preserve">Braun Research, Inc., </w:t>
      </w:r>
      <w:r w:rsidRPr="008325E2">
        <w:rPr>
          <w:rFonts w:ascii="Arial" w:hAnsi="Arial" w:cs="Arial"/>
          <w:i/>
          <w:iCs/>
          <w:sz w:val="28"/>
          <w:szCs w:val="28"/>
        </w:rPr>
        <w:t>Survey Data Collection and Quality Control</w:t>
      </w:r>
    </w:p>
    <w:p w14:paraId="52BD8F70" w14:textId="77777777" w:rsidR="00257B8B" w:rsidRDefault="00257B8B" w:rsidP="00257B8B">
      <w:pPr>
        <w:spacing w:after="0" w:line="240" w:lineRule="auto"/>
        <w:rPr>
          <w:rFonts w:ascii="Times New Roman" w:eastAsia="Arial" w:hAnsi="Times New Roman" w:cs="Times New Roman"/>
          <w:b/>
          <w:color w:val="000000"/>
          <w:sz w:val="24"/>
          <w:szCs w:val="24"/>
        </w:rPr>
      </w:pPr>
    </w:p>
    <w:p w14:paraId="4D349646" w14:textId="77777777" w:rsidR="00A52489" w:rsidRPr="00257B8B" w:rsidRDefault="00A52489" w:rsidP="00257B8B">
      <w:pPr>
        <w:spacing w:after="0" w:line="240" w:lineRule="auto"/>
        <w:rPr>
          <w:rFonts w:ascii="Times New Roman" w:eastAsia="Arial" w:hAnsi="Times New Roman" w:cs="Times New Roman"/>
          <w:b/>
          <w:color w:val="000000"/>
          <w:sz w:val="24"/>
          <w:szCs w:val="24"/>
        </w:rPr>
      </w:pPr>
    </w:p>
    <w:p w14:paraId="7575EC6B" w14:textId="77777777" w:rsidR="00257B8B" w:rsidRPr="00257B8B" w:rsidRDefault="00257B8B" w:rsidP="00257B8B">
      <w:pPr>
        <w:rPr>
          <w:rFonts w:ascii="Arial" w:hAnsi="Arial" w:cs="Arial"/>
          <w:b/>
          <w:iCs/>
          <w:sz w:val="32"/>
          <w:szCs w:val="32"/>
        </w:rPr>
      </w:pPr>
      <w:r w:rsidRPr="00257B8B">
        <w:rPr>
          <w:rFonts w:ascii="Arial" w:hAnsi="Arial" w:cs="Arial"/>
          <w:b/>
          <w:iCs/>
          <w:sz w:val="32"/>
          <w:szCs w:val="32"/>
        </w:rPr>
        <w:t>Online Interviews</w:t>
      </w:r>
    </w:p>
    <w:p w14:paraId="47FBC1C7" w14:textId="0E4C9BF2" w:rsidR="00257B8B" w:rsidRDefault="00257B8B" w:rsidP="00257B8B">
      <w:pPr>
        <w:spacing w:before="100" w:beforeAutospacing="1" w:after="100" w:afterAutospacing="1"/>
        <w:contextualSpacing/>
        <w:rPr>
          <w:rFonts w:ascii="Times New Roman" w:hAnsi="Times New Roman" w:cs="Times New Roman"/>
        </w:rPr>
      </w:pPr>
      <w:r w:rsidRPr="00257B8B">
        <w:rPr>
          <w:rFonts w:ascii="Times New Roman" w:hAnsi="Times New Roman" w:cs="Times New Roman"/>
        </w:rPr>
        <w:t>Braun Research programmed and hosted the web-based surveys. Fulcrum assisted with recruitment and providing the panel sample.</w:t>
      </w:r>
      <w:r w:rsidRPr="00257B8B">
        <w:rPr>
          <w:rFonts w:ascii="Times New Roman" w:hAnsi="Times New Roman" w:cs="Times New Roman"/>
          <w:vertAlign w:val="superscript"/>
        </w:rPr>
        <w:footnoteReference w:id="1"/>
      </w:r>
      <w:r w:rsidRPr="00257B8B">
        <w:rPr>
          <w:rFonts w:ascii="Times New Roman" w:hAnsi="Times New Roman" w:cs="Times New Roman"/>
        </w:rPr>
        <w:t xml:space="preserve"> For the General Population and </w:t>
      </w:r>
      <w:r w:rsidR="001078DE">
        <w:rPr>
          <w:rFonts w:ascii="Times New Roman" w:hAnsi="Times New Roman" w:cs="Times New Roman"/>
        </w:rPr>
        <w:t xml:space="preserve">School Parent </w:t>
      </w:r>
      <w:r w:rsidRPr="00257B8B">
        <w:rPr>
          <w:rFonts w:ascii="Times New Roman" w:hAnsi="Times New Roman" w:cs="Times New Roman"/>
        </w:rPr>
        <w:t xml:space="preserve">oversample, panel administrators initially emailed </w:t>
      </w:r>
      <w:r w:rsidR="00043BA8">
        <w:rPr>
          <w:rFonts w:ascii="Times New Roman" w:hAnsi="Times New Roman" w:cs="Times New Roman"/>
        </w:rPr>
        <w:t>6,246</w:t>
      </w:r>
      <w:r w:rsidRPr="00257B8B">
        <w:rPr>
          <w:rFonts w:ascii="Times New Roman" w:hAnsi="Times New Roman" w:cs="Times New Roman"/>
        </w:rPr>
        <w:t xml:space="preserve"> adults from </w:t>
      </w:r>
      <w:r w:rsidR="00BF60E2">
        <w:rPr>
          <w:rFonts w:ascii="Times New Roman" w:hAnsi="Times New Roman" w:cs="Times New Roman"/>
        </w:rPr>
        <w:t>September 30</w:t>
      </w:r>
      <w:r w:rsidR="001078DE">
        <w:rPr>
          <w:rFonts w:ascii="Times New Roman" w:hAnsi="Times New Roman" w:cs="Times New Roman"/>
        </w:rPr>
        <w:t xml:space="preserve"> to </w:t>
      </w:r>
      <w:r w:rsidR="00BF60E2">
        <w:rPr>
          <w:rFonts w:ascii="Times New Roman" w:hAnsi="Times New Roman" w:cs="Times New Roman"/>
        </w:rPr>
        <w:t>October 20,</w:t>
      </w:r>
      <w:r w:rsidR="001078DE">
        <w:rPr>
          <w:rFonts w:ascii="Times New Roman" w:hAnsi="Times New Roman" w:cs="Times New Roman"/>
        </w:rPr>
        <w:t xml:space="preserve"> 2020</w:t>
      </w:r>
      <w:r w:rsidRPr="00257B8B">
        <w:rPr>
          <w:rFonts w:ascii="Times New Roman" w:hAnsi="Times New Roman" w:cs="Times New Roman"/>
        </w:rPr>
        <w:t xml:space="preserve">. All of these contacts were randomly selected from the opt-in non-probability online pool of panelists. </w:t>
      </w:r>
    </w:p>
    <w:p w14:paraId="2045C157" w14:textId="77777777" w:rsidR="00A52489" w:rsidRPr="00257B8B" w:rsidRDefault="00A52489" w:rsidP="00257B8B">
      <w:pPr>
        <w:spacing w:before="100" w:beforeAutospacing="1" w:after="100" w:afterAutospacing="1"/>
        <w:contextualSpacing/>
        <w:rPr>
          <w:rFonts w:ascii="Times New Roman" w:hAnsi="Times New Roman" w:cs="Times New Roman"/>
        </w:rPr>
      </w:pPr>
    </w:p>
    <w:p w14:paraId="2F16FC7A" w14:textId="310A07E7" w:rsidR="00257B8B" w:rsidRDefault="00257B8B" w:rsidP="00257B8B">
      <w:pPr>
        <w:numPr>
          <w:ilvl w:val="0"/>
          <w:numId w:val="1"/>
        </w:numPr>
        <w:spacing w:before="100" w:beforeAutospacing="1" w:after="100" w:afterAutospacing="1"/>
        <w:contextualSpacing/>
        <w:rPr>
          <w:rFonts w:ascii="Times New Roman" w:hAnsi="Times New Roman" w:cs="Times New Roman"/>
        </w:rPr>
      </w:pPr>
      <w:r w:rsidRPr="00257B8B">
        <w:rPr>
          <w:rFonts w:ascii="Times New Roman" w:hAnsi="Times New Roman" w:cs="Times New Roman"/>
        </w:rPr>
        <w:t xml:space="preserve">General Population plus oversamples: </w:t>
      </w:r>
      <w:r w:rsidR="00B61396">
        <w:rPr>
          <w:rFonts w:ascii="Times New Roman" w:hAnsi="Times New Roman" w:cs="Times New Roman"/>
        </w:rPr>
        <w:t>2,185</w:t>
      </w:r>
      <w:r w:rsidRPr="00257B8B">
        <w:rPr>
          <w:rFonts w:ascii="Times New Roman" w:hAnsi="Times New Roman" w:cs="Times New Roman"/>
        </w:rPr>
        <w:t xml:space="preserve"> individuals clicked into the survey – </w:t>
      </w:r>
      <w:r w:rsidR="004A1008">
        <w:rPr>
          <w:rFonts w:ascii="Times New Roman" w:hAnsi="Times New Roman" w:cs="Times New Roman"/>
        </w:rPr>
        <w:t>382</w:t>
      </w:r>
      <w:r w:rsidRPr="00257B8B">
        <w:rPr>
          <w:rFonts w:ascii="Times New Roman" w:hAnsi="Times New Roman" w:cs="Times New Roman"/>
        </w:rPr>
        <w:t xml:space="preserve"> refused to participate;</w:t>
      </w:r>
      <w:r w:rsidR="001078DE">
        <w:rPr>
          <w:rFonts w:ascii="Times New Roman" w:hAnsi="Times New Roman" w:cs="Times New Roman"/>
        </w:rPr>
        <w:t xml:space="preserve"> </w:t>
      </w:r>
      <w:r w:rsidR="00DD2C1C">
        <w:rPr>
          <w:rFonts w:ascii="Times New Roman" w:hAnsi="Times New Roman" w:cs="Times New Roman"/>
        </w:rPr>
        <w:t>486</w:t>
      </w:r>
      <w:r w:rsidRPr="00257B8B">
        <w:rPr>
          <w:rFonts w:ascii="Times New Roman" w:hAnsi="Times New Roman" w:cs="Times New Roman"/>
        </w:rPr>
        <w:t xml:space="preserve"> terminated as disqualified; and </w:t>
      </w:r>
      <w:r w:rsidR="00DD2C1C">
        <w:rPr>
          <w:rFonts w:ascii="Times New Roman" w:hAnsi="Times New Roman" w:cs="Times New Roman"/>
        </w:rPr>
        <w:t>352</w:t>
      </w:r>
      <w:r w:rsidRPr="00257B8B">
        <w:rPr>
          <w:rFonts w:ascii="Times New Roman" w:hAnsi="Times New Roman" w:cs="Times New Roman"/>
        </w:rPr>
        <w:t xml:space="preserve"> broke off early. </w:t>
      </w:r>
    </w:p>
    <w:p w14:paraId="1FE08DF1" w14:textId="77777777" w:rsidR="00257B8B" w:rsidRDefault="00257B8B" w:rsidP="00257B8B">
      <w:pPr>
        <w:spacing w:before="100" w:beforeAutospacing="1" w:after="100" w:afterAutospacing="1"/>
        <w:ind w:left="720"/>
        <w:contextualSpacing/>
        <w:rPr>
          <w:rFonts w:ascii="Times New Roman" w:hAnsi="Times New Roman" w:cs="Times New Roman"/>
        </w:rPr>
      </w:pPr>
    </w:p>
    <w:p w14:paraId="04B2242E" w14:textId="77777777" w:rsidR="00257B8B" w:rsidRPr="00257B8B" w:rsidRDefault="00257B8B" w:rsidP="00257B8B">
      <w:pPr>
        <w:rPr>
          <w:rFonts w:ascii="Arial" w:hAnsi="Arial" w:cs="Arial"/>
          <w:b/>
          <w:sz w:val="28"/>
          <w:szCs w:val="28"/>
        </w:rPr>
      </w:pPr>
      <w:r w:rsidRPr="00257B8B">
        <w:rPr>
          <w:rFonts w:ascii="Arial" w:hAnsi="Arial" w:cs="Arial"/>
          <w:b/>
          <w:sz w:val="28"/>
          <w:szCs w:val="28"/>
        </w:rPr>
        <w:t>Contact Procedures</w:t>
      </w:r>
    </w:p>
    <w:p w14:paraId="4122B315" w14:textId="77777777" w:rsidR="00257B8B" w:rsidRDefault="00257B8B" w:rsidP="00257B8B">
      <w:pPr>
        <w:spacing w:before="100" w:beforeAutospacing="1" w:after="100" w:afterAutospacing="1"/>
        <w:contextualSpacing/>
        <w:rPr>
          <w:rFonts w:ascii="Times New Roman" w:hAnsi="Times New Roman" w:cs="Times New Roman"/>
        </w:rPr>
      </w:pPr>
      <w:r w:rsidRPr="00257B8B">
        <w:rPr>
          <w:rFonts w:ascii="Times New Roman" w:hAnsi="Times New Roman" w:cs="Times New Roman"/>
        </w:rPr>
        <w:t xml:space="preserve">Contacts with potential respondents generally function differently than by other modes like phone or mail. Braun Research creates and develops the survey instrument and gives it a title. For this project, the online panel connector (Fulcrum) takes that survey and, via a link, reaches out to its partners—who are online panel suppliers—to offer opportunities to participate. These online panel partners decide whether to participate and offer to their panelists based on their panel composition, survey topic and screening questions. The panel companies present these opportunities, generally in the form of an online dashboard or mobile app. The platform serves as a direct-to-consumer model </w:t>
      </w:r>
      <w:r w:rsidR="00EE78E6">
        <w:rPr>
          <w:rFonts w:ascii="Times New Roman" w:hAnsi="Times New Roman" w:cs="Times New Roman"/>
        </w:rPr>
        <w:t>–</w:t>
      </w:r>
      <w:r w:rsidRPr="00257B8B">
        <w:rPr>
          <w:rFonts w:ascii="Times New Roman" w:hAnsi="Times New Roman" w:cs="Times New Roman"/>
        </w:rPr>
        <w:t xml:space="preserve"> </w:t>
      </w:r>
      <w:r w:rsidR="00EE78E6">
        <w:rPr>
          <w:rFonts w:ascii="Times New Roman" w:hAnsi="Times New Roman" w:cs="Times New Roman"/>
        </w:rPr>
        <w:t>t</w:t>
      </w:r>
      <w:r w:rsidRPr="00257B8B">
        <w:rPr>
          <w:rFonts w:ascii="Times New Roman" w:hAnsi="Times New Roman" w:cs="Times New Roman"/>
        </w:rPr>
        <w:t>he link is created, sent out, and the panelist clicks on the survey if he/she wants to participate or not. Rather than sending email invitations to initiate contacts, most online panel companies use a dashboard-type platform and process, whereby panelists visit these dashboards (or apps) to see the latest survey offerings.</w:t>
      </w:r>
    </w:p>
    <w:p w14:paraId="4C8F12BA" w14:textId="77777777" w:rsidR="00D22F15" w:rsidRDefault="00D22F15" w:rsidP="00257B8B">
      <w:pPr>
        <w:spacing w:before="100" w:beforeAutospacing="1" w:after="100" w:afterAutospacing="1"/>
        <w:contextualSpacing/>
        <w:rPr>
          <w:rFonts w:ascii="Times New Roman" w:hAnsi="Times New Roman" w:cs="Times New Roman"/>
        </w:rPr>
      </w:pPr>
    </w:p>
    <w:p w14:paraId="27CE3759" w14:textId="77777777" w:rsidR="00257B8B" w:rsidRPr="00257B8B" w:rsidRDefault="00257B8B" w:rsidP="00257B8B">
      <w:pPr>
        <w:rPr>
          <w:rFonts w:ascii="Arial" w:hAnsi="Arial" w:cs="Arial"/>
          <w:b/>
          <w:iCs/>
          <w:sz w:val="32"/>
          <w:szCs w:val="32"/>
        </w:rPr>
      </w:pPr>
      <w:r w:rsidRPr="00257B8B">
        <w:rPr>
          <w:rFonts w:ascii="Arial" w:hAnsi="Arial" w:cs="Arial"/>
          <w:b/>
          <w:iCs/>
          <w:sz w:val="32"/>
          <w:szCs w:val="32"/>
        </w:rPr>
        <w:t>Phone Interviews</w:t>
      </w:r>
    </w:p>
    <w:p w14:paraId="2D2E19A4" w14:textId="77777777" w:rsidR="00257B8B" w:rsidRDefault="00257B8B" w:rsidP="00257B8B">
      <w:pPr>
        <w:spacing w:after="0" w:line="240" w:lineRule="auto"/>
        <w:rPr>
          <w:rFonts w:ascii="Times New Roman" w:hAnsi="Times New Roman" w:cs="Times New Roman"/>
        </w:rPr>
      </w:pPr>
      <w:r w:rsidRPr="00257B8B">
        <w:rPr>
          <w:rFonts w:ascii="Times New Roman" w:hAnsi="Times New Roman" w:cs="Times New Roman"/>
        </w:rPr>
        <w:t xml:space="preserve">Braun Research’s live callers conducted all interviews via computer-assisted telephone interviewing (CATI) using a survey instrument developed and scripted by the authors. </w:t>
      </w:r>
    </w:p>
    <w:p w14:paraId="5C9A66EB" w14:textId="77777777" w:rsidR="000C603F" w:rsidRDefault="000C603F" w:rsidP="00257B8B">
      <w:pPr>
        <w:spacing w:after="0" w:line="240" w:lineRule="auto"/>
        <w:rPr>
          <w:rFonts w:ascii="Times New Roman" w:hAnsi="Times New Roman" w:cs="Times New Roman"/>
        </w:rPr>
      </w:pPr>
    </w:p>
    <w:p w14:paraId="2A6B2402" w14:textId="77777777" w:rsidR="000C603F" w:rsidRPr="00257B8B" w:rsidRDefault="000C603F" w:rsidP="000C603F">
      <w:pPr>
        <w:rPr>
          <w:rFonts w:ascii="Times New Roman" w:hAnsi="Times New Roman" w:cs="Times New Roman"/>
        </w:rPr>
      </w:pPr>
      <w:r w:rsidRPr="00257B8B">
        <w:rPr>
          <w:rFonts w:ascii="Times New Roman" w:hAnsi="Times New Roman" w:cs="Times New Roman"/>
        </w:rPr>
        <w:lastRenderedPageBreak/>
        <w:t>The phone questionnaire reflected a shorter, abridged version of the online questionnaire – about two-thirds length of the online version.</w:t>
      </w:r>
    </w:p>
    <w:p w14:paraId="6B512403" w14:textId="36F089B9" w:rsidR="00257B8B" w:rsidRDefault="00257B8B" w:rsidP="000544DA">
      <w:pPr>
        <w:spacing w:after="0" w:line="240" w:lineRule="auto"/>
        <w:rPr>
          <w:rFonts w:ascii="Times New Roman" w:hAnsi="Times New Roman" w:cs="Times New Roman"/>
        </w:rPr>
      </w:pPr>
      <w:r w:rsidRPr="00257B8B">
        <w:rPr>
          <w:rFonts w:ascii="Times New Roman" w:hAnsi="Times New Roman" w:cs="Times New Roman"/>
        </w:rPr>
        <w:t xml:space="preserve">For the phone portion of this project to achieve the General Population sample, Braun Research made </w:t>
      </w:r>
      <w:r w:rsidR="008900FF">
        <w:rPr>
          <w:rFonts w:ascii="Times New Roman" w:hAnsi="Times New Roman" w:cs="Times New Roman"/>
        </w:rPr>
        <w:t>2</w:t>
      </w:r>
      <w:r w:rsidR="000A276D">
        <w:rPr>
          <w:rFonts w:ascii="Times New Roman" w:hAnsi="Times New Roman" w:cs="Times New Roman"/>
        </w:rPr>
        <w:t>3,367</w:t>
      </w:r>
      <w:r w:rsidRPr="00257B8B">
        <w:rPr>
          <w:rFonts w:ascii="Times New Roman" w:hAnsi="Times New Roman" w:cs="Times New Roman"/>
        </w:rPr>
        <w:t xml:space="preserve"> total phone calls by landline phone (</w:t>
      </w:r>
      <w:r w:rsidR="000A276D">
        <w:rPr>
          <w:rFonts w:ascii="Times New Roman" w:hAnsi="Times New Roman" w:cs="Times New Roman"/>
        </w:rPr>
        <w:t>8,637</w:t>
      </w:r>
      <w:r w:rsidRPr="00257B8B">
        <w:rPr>
          <w:rFonts w:ascii="Times New Roman" w:hAnsi="Times New Roman" w:cs="Times New Roman"/>
        </w:rPr>
        <w:t>) and cell phone (</w:t>
      </w:r>
      <w:r w:rsidR="008900FF">
        <w:rPr>
          <w:rFonts w:ascii="Times New Roman" w:hAnsi="Times New Roman" w:cs="Times New Roman"/>
        </w:rPr>
        <w:t>1</w:t>
      </w:r>
      <w:r w:rsidR="00E60B7C">
        <w:rPr>
          <w:rFonts w:ascii="Times New Roman" w:hAnsi="Times New Roman" w:cs="Times New Roman"/>
        </w:rPr>
        <w:t>4,730</w:t>
      </w:r>
      <w:r w:rsidRPr="00257B8B">
        <w:rPr>
          <w:rFonts w:ascii="Times New Roman" w:hAnsi="Times New Roman" w:cs="Times New Roman"/>
        </w:rPr>
        <w:t xml:space="preserve">). Of these calls </w:t>
      </w:r>
      <w:r w:rsidR="00E60B7C">
        <w:rPr>
          <w:rFonts w:ascii="Times New Roman" w:hAnsi="Times New Roman" w:cs="Times New Roman"/>
        </w:rPr>
        <w:t>9,718</w:t>
      </w:r>
      <w:r w:rsidRPr="00257B8B">
        <w:rPr>
          <w:rFonts w:ascii="Times New Roman" w:hAnsi="Times New Roman" w:cs="Times New Roman"/>
        </w:rPr>
        <w:t xml:space="preserve"> (</w:t>
      </w:r>
      <w:r w:rsidR="00352B49" w:rsidRPr="00352B49">
        <w:rPr>
          <w:rFonts w:ascii="Times New Roman" w:hAnsi="Times New Roman" w:cs="Times New Roman"/>
        </w:rPr>
        <w:t>3,546 landline, 6,172 cell</w:t>
      </w:r>
      <w:r w:rsidR="00352B49">
        <w:rPr>
          <w:rFonts w:ascii="Times New Roman" w:hAnsi="Times New Roman" w:cs="Times New Roman"/>
        </w:rPr>
        <w:t xml:space="preserve"> phone</w:t>
      </w:r>
      <w:r w:rsidRPr="00257B8B">
        <w:rPr>
          <w:rFonts w:ascii="Times New Roman" w:hAnsi="Times New Roman" w:cs="Times New Roman"/>
        </w:rPr>
        <w:t>) were unusable phone numbers (disconnected, fax, busy, or non-answers, etc.);</w:t>
      </w:r>
      <w:r w:rsidR="00EA6661">
        <w:rPr>
          <w:rFonts w:ascii="Times New Roman" w:hAnsi="Times New Roman" w:cs="Times New Roman"/>
        </w:rPr>
        <w:t xml:space="preserve"> </w:t>
      </w:r>
      <w:r w:rsidR="003453BB" w:rsidRPr="003453BB">
        <w:rPr>
          <w:rFonts w:ascii="Times New Roman" w:hAnsi="Times New Roman" w:cs="Times New Roman"/>
        </w:rPr>
        <w:t xml:space="preserve">162 </w:t>
      </w:r>
      <w:r w:rsidR="00EA6661">
        <w:rPr>
          <w:rFonts w:ascii="Times New Roman" w:hAnsi="Times New Roman" w:cs="Times New Roman"/>
        </w:rPr>
        <w:t>(</w:t>
      </w:r>
      <w:r w:rsidR="003453BB" w:rsidRPr="003453BB">
        <w:rPr>
          <w:rFonts w:ascii="Times New Roman" w:hAnsi="Times New Roman" w:cs="Times New Roman"/>
        </w:rPr>
        <w:t>27 landline, 135 cell</w:t>
      </w:r>
      <w:r w:rsidR="00EA6661">
        <w:rPr>
          <w:rFonts w:ascii="Times New Roman" w:hAnsi="Times New Roman" w:cs="Times New Roman"/>
        </w:rPr>
        <w:t xml:space="preserve"> phone)</w:t>
      </w:r>
      <w:r w:rsidR="003453BB" w:rsidRPr="003453BB">
        <w:rPr>
          <w:rFonts w:ascii="Times New Roman" w:hAnsi="Times New Roman" w:cs="Times New Roman"/>
        </w:rPr>
        <w:t xml:space="preserve"> people terminated as not qualified to complete the survey</w:t>
      </w:r>
      <w:r w:rsidRPr="00257B8B">
        <w:rPr>
          <w:rFonts w:ascii="Times New Roman" w:hAnsi="Times New Roman" w:cs="Times New Roman"/>
        </w:rPr>
        <w:t xml:space="preserve">; and </w:t>
      </w:r>
      <w:r w:rsidR="004F17EB" w:rsidRPr="004F17EB">
        <w:rPr>
          <w:rFonts w:ascii="Times New Roman" w:hAnsi="Times New Roman" w:cs="Times New Roman"/>
        </w:rPr>
        <w:t xml:space="preserve">10,053 </w:t>
      </w:r>
      <w:r w:rsidR="004F17EB">
        <w:rPr>
          <w:rFonts w:ascii="Times New Roman" w:hAnsi="Times New Roman" w:cs="Times New Roman"/>
        </w:rPr>
        <w:t>(</w:t>
      </w:r>
      <w:r w:rsidR="004F17EB" w:rsidRPr="004F17EB">
        <w:rPr>
          <w:rFonts w:ascii="Times New Roman" w:hAnsi="Times New Roman" w:cs="Times New Roman"/>
        </w:rPr>
        <w:t>3,416 landline, 6,637 cell</w:t>
      </w:r>
      <w:r w:rsidR="004F17EB">
        <w:rPr>
          <w:rFonts w:ascii="Times New Roman" w:hAnsi="Times New Roman" w:cs="Times New Roman"/>
        </w:rPr>
        <w:t xml:space="preserve"> phone)</w:t>
      </w:r>
      <w:r w:rsidR="004F17EB" w:rsidRPr="004F17EB">
        <w:rPr>
          <w:rFonts w:ascii="Times New Roman" w:hAnsi="Times New Roman" w:cs="Times New Roman"/>
        </w:rPr>
        <w:t xml:space="preserve"> </w:t>
      </w:r>
      <w:r w:rsidRPr="00257B8B">
        <w:rPr>
          <w:rFonts w:ascii="Times New Roman" w:hAnsi="Times New Roman" w:cs="Times New Roman"/>
        </w:rPr>
        <w:t xml:space="preserve">phone numbers were usable numbers but eligibility unknown (including callbacks, refusals and voicemail). </w:t>
      </w:r>
      <w:r w:rsidR="00895451">
        <w:rPr>
          <w:rFonts w:ascii="Times New Roman" w:hAnsi="Times New Roman" w:cs="Times New Roman"/>
        </w:rPr>
        <w:t>Thirty</w:t>
      </w:r>
      <w:r w:rsidR="008900FF">
        <w:rPr>
          <w:rFonts w:ascii="Times New Roman" w:hAnsi="Times New Roman" w:cs="Times New Roman"/>
        </w:rPr>
        <w:t>-three</w:t>
      </w:r>
      <w:r w:rsidRPr="00257B8B">
        <w:rPr>
          <w:rFonts w:ascii="Times New Roman" w:hAnsi="Times New Roman" w:cs="Times New Roman"/>
        </w:rPr>
        <w:t xml:space="preserve"> people (</w:t>
      </w:r>
      <w:r w:rsidR="009C50EA">
        <w:rPr>
          <w:rFonts w:ascii="Times New Roman" w:hAnsi="Times New Roman" w:cs="Times New Roman"/>
        </w:rPr>
        <w:t>1</w:t>
      </w:r>
      <w:r w:rsidR="00895451">
        <w:rPr>
          <w:rFonts w:ascii="Times New Roman" w:hAnsi="Times New Roman" w:cs="Times New Roman"/>
        </w:rPr>
        <w:t>2</w:t>
      </w:r>
      <w:r w:rsidRPr="00257B8B">
        <w:rPr>
          <w:rFonts w:ascii="Times New Roman" w:hAnsi="Times New Roman" w:cs="Times New Roman"/>
        </w:rPr>
        <w:t xml:space="preserve"> landline; </w:t>
      </w:r>
      <w:r w:rsidR="009C50EA">
        <w:rPr>
          <w:rFonts w:ascii="Times New Roman" w:hAnsi="Times New Roman" w:cs="Times New Roman"/>
        </w:rPr>
        <w:t>2</w:t>
      </w:r>
      <w:r w:rsidR="00895451">
        <w:rPr>
          <w:rFonts w:ascii="Times New Roman" w:hAnsi="Times New Roman" w:cs="Times New Roman"/>
        </w:rPr>
        <w:t>1</w:t>
      </w:r>
      <w:r w:rsidRPr="00257B8B">
        <w:rPr>
          <w:rFonts w:ascii="Times New Roman" w:hAnsi="Times New Roman" w:cs="Times New Roman"/>
        </w:rPr>
        <w:t xml:space="preserve"> cell phone) did not complete the survey. </w:t>
      </w:r>
    </w:p>
    <w:p w14:paraId="22DF6547" w14:textId="77777777" w:rsidR="000544DA" w:rsidRPr="00257B8B" w:rsidRDefault="000544DA" w:rsidP="000544DA">
      <w:pPr>
        <w:spacing w:after="0" w:line="240" w:lineRule="auto"/>
        <w:rPr>
          <w:rFonts w:ascii="Arial" w:eastAsia="Calibri" w:hAnsi="Arial" w:cstheme="majorHAnsi"/>
          <w:bCs/>
          <w:iCs/>
          <w:smallCaps/>
        </w:rPr>
      </w:pPr>
    </w:p>
    <w:p w14:paraId="6F3D14B4" w14:textId="77777777" w:rsidR="00257B8B" w:rsidRPr="00257B8B" w:rsidRDefault="00257B8B" w:rsidP="00257B8B">
      <w:pPr>
        <w:rPr>
          <w:rFonts w:ascii="Arial" w:hAnsi="Arial" w:cs="Arial"/>
          <w:b/>
          <w:sz w:val="28"/>
          <w:szCs w:val="28"/>
        </w:rPr>
      </w:pPr>
      <w:r w:rsidRPr="00257B8B">
        <w:rPr>
          <w:rFonts w:ascii="Arial" w:hAnsi="Arial" w:cs="Arial"/>
          <w:b/>
          <w:sz w:val="28"/>
          <w:szCs w:val="28"/>
        </w:rPr>
        <w:t>Phone Sample Design</w:t>
      </w:r>
    </w:p>
    <w:p w14:paraId="15503B46" w14:textId="77777777" w:rsidR="00257B8B" w:rsidRPr="00257B8B" w:rsidRDefault="00257B8B" w:rsidP="00257B8B">
      <w:pPr>
        <w:spacing w:after="0" w:line="240" w:lineRule="auto"/>
        <w:rPr>
          <w:rFonts w:ascii="Times New Roman" w:hAnsi="Times New Roman" w:cs="Times New Roman"/>
        </w:rPr>
      </w:pPr>
      <w:r w:rsidRPr="00257B8B">
        <w:rPr>
          <w:rFonts w:ascii="Times New Roman" w:hAnsi="Times New Roman" w:cs="Times New Roman"/>
        </w:rPr>
        <w:t>Dynata (formerly Survey Sampling International) used a combination of landline and cellular random digit dial (RDD) samples to represent the General Population (adults age 18+ in the United States and District of Columbia) who have access to either a landline or cellular telephone. Dynata provided both samples according to BRI specifications.</w:t>
      </w:r>
    </w:p>
    <w:p w14:paraId="41FEA5E6" w14:textId="77777777" w:rsidR="00257B8B" w:rsidRPr="00257B8B" w:rsidRDefault="00257B8B" w:rsidP="00257B8B">
      <w:pPr>
        <w:spacing w:after="0" w:line="240" w:lineRule="auto"/>
        <w:rPr>
          <w:rFonts w:ascii="Times New Roman" w:hAnsi="Times New Roman" w:cs="Times New Roman"/>
        </w:rPr>
      </w:pPr>
    </w:p>
    <w:p w14:paraId="612F4E9B" w14:textId="77777777" w:rsidR="00257B8B" w:rsidRPr="00257B8B" w:rsidRDefault="00257B8B" w:rsidP="00257B8B">
      <w:pPr>
        <w:spacing w:after="0" w:line="240" w:lineRule="auto"/>
        <w:rPr>
          <w:rFonts w:ascii="Times New Roman" w:hAnsi="Times New Roman" w:cs="Times New Roman"/>
        </w:rPr>
      </w:pPr>
      <w:r w:rsidRPr="00257B8B">
        <w:rPr>
          <w:rFonts w:ascii="Times New Roman" w:hAnsi="Times New Roman" w:cs="Times New Roman"/>
        </w:rPr>
        <w:t xml:space="preserve">Dynata starts with a database of all listed telephone numbers, updated on a four- to six-week rolling basis, 25 percent of the listings at a time. All active blocks—contiguous groups of 100 phone numbers for which more than one residential number is listed—are added to this database by </w:t>
      </w:r>
      <w:r w:rsidR="009C50EA">
        <w:rPr>
          <w:rFonts w:ascii="Times New Roman" w:hAnsi="Times New Roman" w:cs="Times New Roman"/>
        </w:rPr>
        <w:t>Dynata</w:t>
      </w:r>
      <w:r w:rsidRPr="00257B8B">
        <w:rPr>
          <w:rFonts w:ascii="Times New Roman" w:hAnsi="Times New Roman" w:cs="Times New Roman"/>
        </w:rPr>
        <w:t>. Blocks and exchanges that include only listed business numbers are excluded.</w:t>
      </w:r>
    </w:p>
    <w:p w14:paraId="6EE77948" w14:textId="77777777" w:rsidR="00257B8B" w:rsidRPr="00257B8B" w:rsidRDefault="00257B8B" w:rsidP="00257B8B">
      <w:pPr>
        <w:spacing w:after="0" w:line="240" w:lineRule="auto"/>
        <w:rPr>
          <w:rFonts w:ascii="Times New Roman" w:hAnsi="Times New Roman" w:cs="Times New Roman"/>
        </w:rPr>
      </w:pPr>
    </w:p>
    <w:p w14:paraId="4124AB5A" w14:textId="77777777" w:rsidR="00257B8B" w:rsidRPr="00257B8B" w:rsidRDefault="00257B8B" w:rsidP="00257B8B">
      <w:pPr>
        <w:spacing w:after="0" w:line="240" w:lineRule="auto"/>
        <w:rPr>
          <w:rFonts w:ascii="Times New Roman" w:hAnsi="Times New Roman" w:cs="Times New Roman"/>
        </w:rPr>
      </w:pPr>
      <w:r w:rsidRPr="00257B8B">
        <w:rPr>
          <w:rFonts w:ascii="Times New Roman" w:hAnsi="Times New Roman" w:cs="Times New Roman"/>
        </w:rPr>
        <w:t>Dynata draws numbers for the landline sample with equal probabilities from active blocks (area code + exchange + two-digit block number) that contained three or more residential directory listings. The cellular sample was not list-assisted, but drawn through a systematic sampling from dedicated wireless 100-blocks and shared service 100-blocks with no directory-listed landline numbers.</w:t>
      </w:r>
    </w:p>
    <w:p w14:paraId="36CE80A0" w14:textId="77777777" w:rsidR="00257B8B" w:rsidRPr="00257B8B" w:rsidRDefault="00257B8B" w:rsidP="00257B8B">
      <w:pPr>
        <w:spacing w:after="0" w:line="240" w:lineRule="auto"/>
        <w:rPr>
          <w:rFonts w:ascii="Times New Roman" w:hAnsi="Times New Roman" w:cs="Times New Roman"/>
        </w:rPr>
      </w:pPr>
    </w:p>
    <w:p w14:paraId="2B29474E" w14:textId="77777777" w:rsidR="00257B8B" w:rsidRPr="00257B8B" w:rsidRDefault="00257B8B" w:rsidP="00257B8B">
      <w:pPr>
        <w:rPr>
          <w:rFonts w:ascii="Arial" w:hAnsi="Arial" w:cs="Arial"/>
          <w:b/>
          <w:sz w:val="28"/>
          <w:szCs w:val="28"/>
        </w:rPr>
      </w:pPr>
      <w:r w:rsidRPr="00257B8B">
        <w:rPr>
          <w:rFonts w:ascii="Arial" w:hAnsi="Arial" w:cs="Arial"/>
          <w:b/>
          <w:sz w:val="28"/>
          <w:szCs w:val="28"/>
        </w:rPr>
        <w:t>Contact Procedures</w:t>
      </w:r>
    </w:p>
    <w:p w14:paraId="69A13242" w14:textId="3640E6C1" w:rsidR="00257B8B" w:rsidRPr="00257B8B" w:rsidRDefault="00257B8B" w:rsidP="00257B8B">
      <w:pPr>
        <w:spacing w:after="0" w:line="240" w:lineRule="auto"/>
        <w:rPr>
          <w:rFonts w:ascii="Times New Roman" w:hAnsi="Times New Roman" w:cs="Times New Roman"/>
        </w:rPr>
      </w:pPr>
      <w:r w:rsidRPr="00257B8B">
        <w:rPr>
          <w:rFonts w:ascii="Times New Roman" w:hAnsi="Times New Roman" w:cs="Times New Roman"/>
        </w:rPr>
        <w:t xml:space="preserve">Braun Research conducted live telephone interviews from </w:t>
      </w:r>
      <w:r w:rsidR="00DF40E7">
        <w:rPr>
          <w:rFonts w:ascii="Times New Roman" w:hAnsi="Times New Roman" w:cs="Times New Roman"/>
        </w:rPr>
        <w:t>September 30</w:t>
      </w:r>
      <w:r w:rsidR="009C50EA">
        <w:rPr>
          <w:rFonts w:ascii="Times New Roman" w:hAnsi="Times New Roman" w:cs="Times New Roman"/>
        </w:rPr>
        <w:t xml:space="preserve"> to </w:t>
      </w:r>
      <w:r w:rsidR="00DF40E7">
        <w:rPr>
          <w:rFonts w:ascii="Times New Roman" w:hAnsi="Times New Roman" w:cs="Times New Roman"/>
        </w:rPr>
        <w:t>October 20,</w:t>
      </w:r>
      <w:r w:rsidR="009C50EA">
        <w:rPr>
          <w:rFonts w:ascii="Times New Roman" w:hAnsi="Times New Roman" w:cs="Times New Roman"/>
        </w:rPr>
        <w:t xml:space="preserve"> 2020</w:t>
      </w:r>
      <w:r w:rsidRPr="00257B8B">
        <w:rPr>
          <w:rFonts w:ascii="Times New Roman" w:hAnsi="Times New Roman" w:cs="Times New Roman"/>
        </w:rPr>
        <w:t xml:space="preserve">. Their callers made as many as eight attempts to contact every sampled phone number. The sample was released for interviewing in replicates, which are representative subsamples of the larger sample. Using replicates to control the release of sample ensures that complete call procedures are followed for the entire sample. Calls were staggered over times of day and days of the week to maximize the chance of contacting potential respondents. Each phone number received at least one daytime call.  </w:t>
      </w:r>
    </w:p>
    <w:p w14:paraId="6811ED49" w14:textId="77777777" w:rsidR="00257B8B" w:rsidRPr="00257B8B" w:rsidRDefault="00257B8B" w:rsidP="00257B8B">
      <w:pPr>
        <w:spacing w:after="0" w:line="240" w:lineRule="auto"/>
        <w:rPr>
          <w:rFonts w:ascii="Times New Roman" w:hAnsi="Times New Roman" w:cs="Times New Roman"/>
        </w:rPr>
      </w:pPr>
    </w:p>
    <w:p w14:paraId="12C8E529" w14:textId="77777777" w:rsidR="00257B8B" w:rsidRPr="00257B8B" w:rsidRDefault="00257B8B" w:rsidP="00257B8B">
      <w:pPr>
        <w:spacing w:after="0" w:line="240" w:lineRule="auto"/>
        <w:rPr>
          <w:rFonts w:ascii="Times New Roman" w:hAnsi="Times New Roman" w:cs="Times New Roman"/>
        </w:rPr>
      </w:pPr>
      <w:r w:rsidRPr="00257B8B">
        <w:rPr>
          <w:rFonts w:ascii="Times New Roman" w:hAnsi="Times New Roman" w:cs="Times New Roman"/>
        </w:rPr>
        <w:t>The Hagan-Collier Method guided respondent selection. Braun Research recruited respondents in the landline sample by asking for the youngest adult male who is now at home. If the youngest male was not home, then the next step would be to request an interview with the youngest female at home. Regarding the cell sample, Braun Research callers interviewed the person who answered the phone, as long as that person was an adult 18 years of age or older.</w:t>
      </w:r>
    </w:p>
    <w:p w14:paraId="400C0EFD" w14:textId="77777777" w:rsidR="00257B8B" w:rsidRPr="00257B8B" w:rsidRDefault="00257B8B" w:rsidP="00257B8B">
      <w:pPr>
        <w:spacing w:after="0" w:line="240" w:lineRule="auto"/>
        <w:rPr>
          <w:rFonts w:ascii="Times New Roman" w:hAnsi="Times New Roman" w:cs="Times New Roman"/>
        </w:rPr>
      </w:pPr>
    </w:p>
    <w:p w14:paraId="29A7E97C" w14:textId="77777777" w:rsidR="00257B8B" w:rsidRDefault="00257B8B" w:rsidP="00257B8B">
      <w:pPr>
        <w:spacing w:after="0" w:line="240" w:lineRule="auto"/>
        <w:rPr>
          <w:rFonts w:ascii="Times New Roman" w:hAnsi="Times New Roman" w:cs="Times New Roman"/>
        </w:rPr>
      </w:pPr>
      <w:r w:rsidRPr="00257B8B">
        <w:rPr>
          <w:rFonts w:ascii="Times New Roman" w:hAnsi="Times New Roman" w:cs="Times New Roman"/>
        </w:rPr>
        <w:t>In addition to sampling error, question wording, ordering, and other practical difficulties when conducting surveys may introduce error or bias into the findings of public opinion research.</w:t>
      </w:r>
    </w:p>
    <w:p w14:paraId="29B51144" w14:textId="77777777" w:rsidR="000544DA" w:rsidRDefault="000544DA" w:rsidP="00257B8B">
      <w:pPr>
        <w:spacing w:after="0" w:line="240" w:lineRule="auto"/>
        <w:rPr>
          <w:rFonts w:ascii="Times New Roman" w:hAnsi="Times New Roman" w:cs="Times New Roman"/>
        </w:rPr>
      </w:pPr>
    </w:p>
    <w:p w14:paraId="226421AA" w14:textId="77777777" w:rsidR="00257B8B" w:rsidRPr="00257B8B" w:rsidRDefault="00257B8B" w:rsidP="00257B8B">
      <w:pPr>
        <w:rPr>
          <w:rFonts w:ascii="Arial" w:hAnsi="Arial" w:cs="Arial"/>
          <w:b/>
          <w:iCs/>
          <w:sz w:val="32"/>
          <w:szCs w:val="32"/>
        </w:rPr>
      </w:pPr>
      <w:r w:rsidRPr="00257B8B">
        <w:rPr>
          <w:rFonts w:ascii="Arial" w:hAnsi="Arial" w:cs="Arial"/>
          <w:b/>
          <w:iCs/>
          <w:sz w:val="32"/>
          <w:szCs w:val="32"/>
        </w:rPr>
        <w:t>Weighting Procedures</w:t>
      </w:r>
    </w:p>
    <w:p w14:paraId="766C46EE" w14:textId="77777777" w:rsidR="00257B8B" w:rsidRPr="00257B8B" w:rsidRDefault="00257B8B" w:rsidP="00257B8B">
      <w:pPr>
        <w:rPr>
          <w:rFonts w:ascii="Times New Roman" w:hAnsi="Times New Roman" w:cs="Times New Roman"/>
        </w:rPr>
      </w:pPr>
      <w:r w:rsidRPr="00257B8B">
        <w:rPr>
          <w:rFonts w:ascii="Times New Roman" w:hAnsi="Times New Roman" w:cs="Times New Roman"/>
        </w:rPr>
        <w:t>Weighting is generally used in survey analysis to compensate for sample designs and patterns of non-response that might bias results. In this study, Braun Research balanced the General Population sample</w:t>
      </w:r>
      <w:r w:rsidR="00CF4CDA">
        <w:rPr>
          <w:rFonts w:ascii="Times New Roman" w:hAnsi="Times New Roman" w:cs="Times New Roman"/>
        </w:rPr>
        <w:t xml:space="preserve"> </w:t>
      </w:r>
      <w:r w:rsidRPr="00257B8B">
        <w:rPr>
          <w:rFonts w:ascii="Times New Roman" w:hAnsi="Times New Roman" w:cs="Times New Roman"/>
        </w:rPr>
        <w:t>population parameters</w:t>
      </w:r>
      <w:r w:rsidR="00CF4CDA">
        <w:rPr>
          <w:rFonts w:ascii="Times New Roman" w:hAnsi="Times New Roman" w:cs="Times New Roman"/>
        </w:rPr>
        <w:t xml:space="preserve"> based on U.S. Census Bureau statistics</w:t>
      </w:r>
      <w:r w:rsidRPr="00257B8B">
        <w:rPr>
          <w:rFonts w:ascii="Times New Roman" w:hAnsi="Times New Roman" w:cs="Times New Roman"/>
        </w:rPr>
        <w:t xml:space="preserve">. </w:t>
      </w:r>
    </w:p>
    <w:p w14:paraId="32E9FFF0" w14:textId="77777777" w:rsidR="00257B8B" w:rsidRPr="00257B8B" w:rsidRDefault="00257B8B" w:rsidP="00257B8B">
      <w:pPr>
        <w:rPr>
          <w:rFonts w:ascii="Times New Roman" w:hAnsi="Times New Roman" w:cs="Times New Roman"/>
        </w:rPr>
      </w:pPr>
      <w:r w:rsidRPr="00257B8B">
        <w:rPr>
          <w:rFonts w:ascii="Times New Roman" w:hAnsi="Times New Roman" w:cs="Times New Roman"/>
        </w:rPr>
        <w:t>Participation in surveys tends to vary for different subgroups of the population. Subgroup participation and cooperation may also vary because of substantive interest regarding a survey’s topics and questions. To compensate for these known and potential biases, the sample data were weighted for analysis.</w:t>
      </w:r>
    </w:p>
    <w:p w14:paraId="560C6E2E" w14:textId="77777777" w:rsidR="00257B8B" w:rsidRPr="00257B8B" w:rsidRDefault="00257B8B" w:rsidP="00257B8B">
      <w:pPr>
        <w:rPr>
          <w:rFonts w:ascii="Times New Roman" w:hAnsi="Times New Roman" w:cs="Times New Roman"/>
        </w:rPr>
      </w:pPr>
      <w:r w:rsidRPr="00257B8B">
        <w:rPr>
          <w:rFonts w:ascii="Times New Roman" w:hAnsi="Times New Roman" w:cs="Times New Roman"/>
        </w:rPr>
        <w:t>We decided to weight in the following manner because of questionnaire similarities and the mixed mode approach on the study:</w:t>
      </w:r>
    </w:p>
    <w:p w14:paraId="35EBCC4E" w14:textId="0B0347C7" w:rsidR="00257B8B" w:rsidRPr="00DA4B74" w:rsidRDefault="00257B8B" w:rsidP="00257B8B">
      <w:pPr>
        <w:numPr>
          <w:ilvl w:val="0"/>
          <w:numId w:val="2"/>
        </w:numPr>
        <w:contextualSpacing/>
        <w:rPr>
          <w:rFonts w:ascii="Times New Roman" w:hAnsi="Times New Roman" w:cs="Times New Roman"/>
        </w:rPr>
      </w:pPr>
      <w:r w:rsidRPr="00257B8B">
        <w:rPr>
          <w:rFonts w:ascii="Times New Roman" w:hAnsi="Times New Roman" w:cs="Times New Roman"/>
        </w:rPr>
        <w:t xml:space="preserve">General Population estimates: Braun Research first combined the initially completed phone sample (N = </w:t>
      </w:r>
      <w:r w:rsidR="005833F2">
        <w:rPr>
          <w:rFonts w:ascii="Times New Roman" w:hAnsi="Times New Roman" w:cs="Times New Roman"/>
        </w:rPr>
        <w:t>302</w:t>
      </w:r>
      <w:r w:rsidRPr="00257B8B">
        <w:rPr>
          <w:rFonts w:ascii="Times New Roman" w:hAnsi="Times New Roman" w:cs="Times New Roman"/>
        </w:rPr>
        <w:t xml:space="preserve">) and online sample (N = </w:t>
      </w:r>
      <w:r w:rsidR="005833F2">
        <w:rPr>
          <w:rFonts w:ascii="Times New Roman" w:hAnsi="Times New Roman" w:cs="Times New Roman"/>
        </w:rPr>
        <w:t>907</w:t>
      </w:r>
      <w:r w:rsidRPr="00257B8B">
        <w:rPr>
          <w:rFonts w:ascii="Times New Roman" w:hAnsi="Times New Roman" w:cs="Times New Roman"/>
        </w:rPr>
        <w:t xml:space="preserve">). The </w:t>
      </w:r>
      <w:r w:rsidRPr="00DA4B74">
        <w:rPr>
          <w:rFonts w:ascii="Times New Roman" w:hAnsi="Times New Roman" w:cs="Times New Roman"/>
        </w:rPr>
        <w:t>weighting procedure then matched for the total General Population sample (N = 1,</w:t>
      </w:r>
      <w:r w:rsidR="00850E71">
        <w:rPr>
          <w:rFonts w:ascii="Times New Roman" w:hAnsi="Times New Roman" w:cs="Times New Roman"/>
        </w:rPr>
        <w:t>209</w:t>
      </w:r>
      <w:r w:rsidRPr="00DA4B74">
        <w:rPr>
          <w:rFonts w:ascii="Times New Roman" w:hAnsi="Times New Roman" w:cs="Times New Roman"/>
        </w:rPr>
        <w:t xml:space="preserve">) current patterns of telephone status and relative usage of landline and cell phones, based on the Center for Disease Control’s </w:t>
      </w:r>
      <w:r w:rsidRPr="00DA4B74">
        <w:rPr>
          <w:rFonts w:ascii="Times New Roman" w:hAnsi="Times New Roman" w:cs="Times New Roman"/>
          <w:i/>
        </w:rPr>
        <w:t xml:space="preserve">Early Release of Estimates From the National Health Interview Survey (NHIS), </w:t>
      </w:r>
      <w:r w:rsidR="0047473E" w:rsidRPr="0047473E">
        <w:rPr>
          <w:rFonts w:ascii="Times New Roman" w:hAnsi="Times New Roman" w:cs="Times New Roman"/>
          <w:i/>
        </w:rPr>
        <w:t>January</w:t>
      </w:r>
      <w:r w:rsidR="0047473E">
        <w:rPr>
          <w:rFonts w:ascii="Times New Roman" w:hAnsi="Times New Roman" w:cs="Times New Roman"/>
          <w:i/>
        </w:rPr>
        <w:t>–</w:t>
      </w:r>
      <w:r w:rsidR="0047473E" w:rsidRPr="0047473E">
        <w:rPr>
          <w:rFonts w:ascii="Times New Roman" w:hAnsi="Times New Roman" w:cs="Times New Roman"/>
          <w:i/>
        </w:rPr>
        <w:t>June 2019</w:t>
      </w:r>
      <w:r w:rsidRPr="00DA4B74">
        <w:rPr>
          <w:rFonts w:ascii="Times New Roman" w:hAnsi="Times New Roman" w:cs="Times New Roman"/>
          <w:i/>
        </w:rPr>
        <w:t>.</w:t>
      </w:r>
      <w:r w:rsidRPr="00DA4B74">
        <w:rPr>
          <w:rFonts w:ascii="Times New Roman" w:hAnsi="Times New Roman" w:cs="Times New Roman"/>
          <w:i/>
          <w:vertAlign w:val="superscript"/>
        </w:rPr>
        <w:footnoteReference w:id="2"/>
      </w:r>
      <w:r w:rsidRPr="00DA4B74">
        <w:rPr>
          <w:rFonts w:ascii="Times New Roman" w:hAnsi="Times New Roman" w:cs="Times New Roman"/>
          <w:i/>
        </w:rPr>
        <w:t xml:space="preserve"> </w:t>
      </w:r>
      <w:r w:rsidRPr="00DA4B74">
        <w:rPr>
          <w:rFonts w:ascii="Times New Roman" w:hAnsi="Times New Roman" w:cs="Times New Roman"/>
        </w:rPr>
        <w:t xml:space="preserve">That total General Population sample was then weighted by using population parameters from the U.S. Census Bureau’s </w:t>
      </w:r>
      <w:r w:rsidRPr="00DA4B74">
        <w:rPr>
          <w:rFonts w:ascii="Times New Roman" w:hAnsi="Times New Roman" w:cs="Times New Roman"/>
          <w:i/>
        </w:rPr>
        <w:t>201</w:t>
      </w:r>
      <w:r w:rsidR="0047473E">
        <w:rPr>
          <w:rFonts w:ascii="Times New Roman" w:hAnsi="Times New Roman" w:cs="Times New Roman"/>
          <w:i/>
        </w:rPr>
        <w:t>8</w:t>
      </w:r>
      <w:r w:rsidRPr="00DA4B74">
        <w:rPr>
          <w:rFonts w:ascii="Times New Roman" w:hAnsi="Times New Roman" w:cs="Times New Roman"/>
          <w:i/>
        </w:rPr>
        <w:t xml:space="preserve"> American Community Survey (ACS), Five-year Estimates</w:t>
      </w:r>
      <w:r w:rsidRPr="00DA4B74">
        <w:rPr>
          <w:rFonts w:ascii="Times New Roman" w:hAnsi="Times New Roman" w:cs="Times New Roman"/>
        </w:rPr>
        <w:t>, for adults 18 years of age or older living in the United States and the District of Columbia, based on: Age, Census Division, Gender, Ethnicity, Race, Education</w:t>
      </w:r>
      <w:r w:rsidR="00DD5488">
        <w:rPr>
          <w:rFonts w:ascii="Times New Roman" w:hAnsi="Times New Roman" w:cs="Times New Roman"/>
        </w:rPr>
        <w:t>, and Phone Usage</w:t>
      </w:r>
      <w:r w:rsidRPr="00DA4B74">
        <w:rPr>
          <w:rFonts w:ascii="Times New Roman" w:hAnsi="Times New Roman" w:cs="Times New Roman"/>
        </w:rPr>
        <w:t>.</w:t>
      </w:r>
      <w:r w:rsidRPr="00DA4B74">
        <w:rPr>
          <w:rFonts w:ascii="Times New Roman" w:hAnsi="Times New Roman" w:cs="Times New Roman"/>
          <w:vertAlign w:val="superscript"/>
        </w:rPr>
        <w:footnoteReference w:id="3"/>
      </w:r>
      <w:r w:rsidRPr="00DA4B74">
        <w:rPr>
          <w:rFonts w:ascii="Times New Roman" w:hAnsi="Times New Roman" w:cs="Times New Roman"/>
        </w:rPr>
        <w:t xml:space="preserve"> </w:t>
      </w:r>
    </w:p>
    <w:p w14:paraId="32098DE6" w14:textId="77777777" w:rsidR="0076369A" w:rsidRPr="00DA4B74" w:rsidRDefault="0076369A" w:rsidP="0076369A">
      <w:pPr>
        <w:ind w:left="720"/>
        <w:contextualSpacing/>
        <w:rPr>
          <w:rFonts w:ascii="Times New Roman" w:hAnsi="Times New Roman" w:cs="Times New Roman"/>
        </w:rPr>
      </w:pPr>
    </w:p>
    <w:p w14:paraId="339587EC" w14:textId="3ADCD6B6" w:rsidR="0076369A" w:rsidRPr="00DA4B74" w:rsidRDefault="0076369A" w:rsidP="009A7F47">
      <w:pPr>
        <w:numPr>
          <w:ilvl w:val="0"/>
          <w:numId w:val="2"/>
        </w:numPr>
        <w:ind w:right="90"/>
        <w:contextualSpacing/>
        <w:rPr>
          <w:rFonts w:ascii="Times New Roman" w:hAnsi="Times New Roman" w:cs="Times New Roman"/>
        </w:rPr>
      </w:pPr>
      <w:r w:rsidRPr="00DA4B74">
        <w:rPr>
          <w:rFonts w:ascii="Times New Roman" w:hAnsi="Times New Roman" w:cs="Times New Roman"/>
        </w:rPr>
        <w:t>We also weighted parents of school-aged children (K</w:t>
      </w:r>
      <w:r w:rsidR="003F5E2E" w:rsidRPr="00DA4B74">
        <w:rPr>
          <w:rFonts w:ascii="Times New Roman" w:hAnsi="Times New Roman" w:cs="Times New Roman"/>
        </w:rPr>
        <w:t>–12</w:t>
      </w:r>
      <w:r w:rsidRPr="00DA4B74">
        <w:rPr>
          <w:rFonts w:ascii="Times New Roman" w:hAnsi="Times New Roman" w:cs="Times New Roman"/>
        </w:rPr>
        <w:t xml:space="preserve"> School Parents</w:t>
      </w:r>
      <w:r w:rsidR="00E644CE" w:rsidRPr="00DA4B74">
        <w:rPr>
          <w:rFonts w:ascii="Times New Roman" w:hAnsi="Times New Roman" w:cs="Times New Roman"/>
        </w:rPr>
        <w:t>, N =</w:t>
      </w:r>
      <w:r w:rsidR="00022122">
        <w:rPr>
          <w:rFonts w:ascii="Times New Roman" w:hAnsi="Times New Roman" w:cs="Times New Roman"/>
        </w:rPr>
        <w:t>1,677</w:t>
      </w:r>
      <w:r w:rsidRPr="00DA4B74">
        <w:rPr>
          <w:rFonts w:ascii="Times New Roman" w:hAnsi="Times New Roman" w:cs="Times New Roman"/>
        </w:rPr>
        <w:t xml:space="preserve">) by their own separate set of statistics and weighted by </w:t>
      </w:r>
      <w:r w:rsidR="0061745C" w:rsidRPr="00DA4B74">
        <w:rPr>
          <w:rFonts w:ascii="Times New Roman" w:hAnsi="Times New Roman" w:cs="Times New Roman"/>
        </w:rPr>
        <w:t>A</w:t>
      </w:r>
      <w:r w:rsidRPr="00DA4B74">
        <w:rPr>
          <w:rFonts w:ascii="Times New Roman" w:hAnsi="Times New Roman" w:cs="Times New Roman"/>
        </w:rPr>
        <w:t xml:space="preserve">ge, Census </w:t>
      </w:r>
      <w:r w:rsidR="00C51396">
        <w:rPr>
          <w:rFonts w:ascii="Times New Roman" w:hAnsi="Times New Roman" w:cs="Times New Roman"/>
        </w:rPr>
        <w:t>Region</w:t>
      </w:r>
      <w:r w:rsidRPr="00DA4B74">
        <w:rPr>
          <w:rFonts w:ascii="Times New Roman" w:hAnsi="Times New Roman" w:cs="Times New Roman"/>
        </w:rPr>
        <w:t xml:space="preserve">, </w:t>
      </w:r>
      <w:r w:rsidR="0061745C" w:rsidRPr="00DA4B74">
        <w:rPr>
          <w:rFonts w:ascii="Times New Roman" w:hAnsi="Times New Roman" w:cs="Times New Roman"/>
        </w:rPr>
        <w:t>G</w:t>
      </w:r>
      <w:r w:rsidRPr="00DA4B74">
        <w:rPr>
          <w:rFonts w:ascii="Times New Roman" w:hAnsi="Times New Roman" w:cs="Times New Roman"/>
        </w:rPr>
        <w:t xml:space="preserve">ender, </w:t>
      </w:r>
      <w:r w:rsidR="00775419">
        <w:rPr>
          <w:rFonts w:ascii="Times New Roman" w:hAnsi="Times New Roman" w:cs="Times New Roman"/>
        </w:rPr>
        <w:t xml:space="preserve">and </w:t>
      </w:r>
      <w:r w:rsidR="0061745C" w:rsidRPr="00DA4B74">
        <w:rPr>
          <w:rFonts w:ascii="Times New Roman" w:hAnsi="Times New Roman" w:cs="Times New Roman"/>
        </w:rPr>
        <w:t>R</w:t>
      </w:r>
      <w:r w:rsidRPr="00DA4B74">
        <w:rPr>
          <w:rFonts w:ascii="Times New Roman" w:hAnsi="Times New Roman" w:cs="Times New Roman"/>
        </w:rPr>
        <w:t>ace</w:t>
      </w:r>
      <w:r w:rsidR="00775419">
        <w:rPr>
          <w:rFonts w:ascii="Times New Roman" w:hAnsi="Times New Roman" w:cs="Times New Roman"/>
        </w:rPr>
        <w:t xml:space="preserve">. </w:t>
      </w:r>
      <w:r w:rsidR="009A7F47">
        <w:rPr>
          <w:rFonts w:ascii="Times New Roman" w:hAnsi="Times New Roman" w:cs="Times New Roman"/>
        </w:rPr>
        <w:t>W</w:t>
      </w:r>
      <w:r w:rsidR="009A7F47" w:rsidRPr="009A7F47">
        <w:rPr>
          <w:rFonts w:ascii="Times New Roman" w:hAnsi="Times New Roman" w:cs="Times New Roman"/>
        </w:rPr>
        <w:t xml:space="preserve">e also weighted the African-American </w:t>
      </w:r>
      <w:r w:rsidR="009A7F47">
        <w:rPr>
          <w:rFonts w:ascii="Times New Roman" w:hAnsi="Times New Roman" w:cs="Times New Roman"/>
        </w:rPr>
        <w:t>p</w:t>
      </w:r>
      <w:r w:rsidR="009A7F47" w:rsidRPr="009A7F47">
        <w:rPr>
          <w:rFonts w:ascii="Times New Roman" w:hAnsi="Times New Roman" w:cs="Times New Roman"/>
        </w:rPr>
        <w:t xml:space="preserve">arent and Hispanic </w:t>
      </w:r>
      <w:r w:rsidR="009A7F47">
        <w:rPr>
          <w:rFonts w:ascii="Times New Roman" w:hAnsi="Times New Roman" w:cs="Times New Roman"/>
        </w:rPr>
        <w:t>p</w:t>
      </w:r>
      <w:r w:rsidR="009A7F47" w:rsidRPr="009A7F47">
        <w:rPr>
          <w:rFonts w:ascii="Times New Roman" w:hAnsi="Times New Roman" w:cs="Times New Roman"/>
        </w:rPr>
        <w:t>arent oversamples to their respective Census populations for gender and region.</w:t>
      </w:r>
    </w:p>
    <w:p w14:paraId="0A8C3AA2" w14:textId="77777777" w:rsidR="00257B8B" w:rsidRPr="00DA4B74" w:rsidRDefault="00257B8B" w:rsidP="000C603F">
      <w:pPr>
        <w:ind w:left="720"/>
        <w:contextualSpacing/>
        <w:rPr>
          <w:rFonts w:ascii="Times New Roman" w:hAnsi="Times New Roman" w:cs="Times New Roman"/>
        </w:rPr>
      </w:pPr>
      <w:r w:rsidRPr="00DA4B74">
        <w:rPr>
          <w:rFonts w:ascii="Times New Roman" w:hAnsi="Times New Roman" w:cs="Times New Roman"/>
        </w:rPr>
        <w:t xml:space="preserve"> </w:t>
      </w:r>
    </w:p>
    <w:p w14:paraId="40B220C8" w14:textId="77777777" w:rsidR="00257B8B" w:rsidRPr="00257B8B" w:rsidRDefault="00257B8B" w:rsidP="00257B8B">
      <w:pPr>
        <w:rPr>
          <w:rFonts w:ascii="Times New Roman" w:hAnsi="Times New Roman" w:cs="Times New Roman"/>
        </w:rPr>
      </w:pPr>
      <w:r w:rsidRPr="00DA4B74">
        <w:rPr>
          <w:rFonts w:ascii="Times New Roman" w:hAnsi="Times New Roman" w:cs="Times New Roman"/>
        </w:rPr>
        <w:t>Weighted and unweighted results are available on request.</w:t>
      </w:r>
    </w:p>
    <w:p w14:paraId="0CA080E3" w14:textId="77777777" w:rsidR="009A5C0D" w:rsidRDefault="009A5C0D" w:rsidP="009A5C0D"/>
    <w:p w14:paraId="047D2AFB" w14:textId="77777777" w:rsidR="009A5C0D" w:rsidRDefault="009A5C0D" w:rsidP="009A5C0D"/>
    <w:p w14:paraId="50E6A098" w14:textId="77777777" w:rsidR="009A5C0D" w:rsidRDefault="009A5C0D" w:rsidP="009A5C0D"/>
    <w:p w14:paraId="3AABD703" w14:textId="77777777" w:rsidR="009A5C0D" w:rsidRDefault="009A5C0D" w:rsidP="009A5C0D"/>
    <w:p w14:paraId="6D64683A" w14:textId="77777777" w:rsidR="009A5C0D" w:rsidRDefault="009A5C0D" w:rsidP="009A5C0D"/>
    <w:p w14:paraId="3FFF669E" w14:textId="77777777" w:rsidR="009A5C0D" w:rsidRDefault="009A5C0D" w:rsidP="009A5C0D"/>
    <w:p w14:paraId="44108474" w14:textId="77777777" w:rsidR="009A5C0D" w:rsidRDefault="009A5C0D" w:rsidP="009A5C0D"/>
    <w:p w14:paraId="48B633CD" w14:textId="311A06AB" w:rsidR="009A5C0D" w:rsidRDefault="009A5C0D" w:rsidP="009A5C0D"/>
    <w:p w14:paraId="4E7E94DA" w14:textId="69215B04" w:rsidR="00D70EB7" w:rsidRDefault="00D70EB7" w:rsidP="009A5C0D"/>
    <w:p w14:paraId="3FAD90E7" w14:textId="009CCFB4" w:rsidR="00D70EB7" w:rsidRDefault="00D70EB7" w:rsidP="009A5C0D"/>
    <w:p w14:paraId="1AD8E171" w14:textId="77777777" w:rsidR="00D70EB7" w:rsidRDefault="00D70EB7" w:rsidP="009A5C0D"/>
    <w:p w14:paraId="10EE1B43" w14:textId="77777777" w:rsidR="009A5C0D" w:rsidRPr="00191417" w:rsidRDefault="009A5C0D" w:rsidP="009A5C0D">
      <w:pPr>
        <w:rPr>
          <w:rFonts w:ascii="Arial" w:hAnsi="Arial" w:cs="Arial"/>
          <w:b/>
          <w:sz w:val="32"/>
          <w:szCs w:val="32"/>
        </w:rPr>
      </w:pPr>
      <w:r w:rsidRPr="00191417">
        <w:rPr>
          <w:rFonts w:ascii="Arial" w:hAnsi="Arial" w:cs="Arial"/>
          <w:b/>
          <w:sz w:val="32"/>
          <w:szCs w:val="32"/>
        </w:rPr>
        <w:t>Online Survey, Dispositions and Response Rate</w:t>
      </w:r>
    </w:p>
    <w:p w14:paraId="54D43A99" w14:textId="77777777" w:rsidR="009A5C0D" w:rsidRPr="00257B8B" w:rsidRDefault="009A5C0D" w:rsidP="009A5C0D">
      <w:pPr>
        <w:spacing w:before="100" w:beforeAutospacing="1" w:after="100" w:afterAutospacing="1"/>
        <w:contextualSpacing/>
        <w:rPr>
          <w:rFonts w:ascii="Times New Roman" w:hAnsi="Times New Roman" w:cs="Times New Roman"/>
        </w:rPr>
      </w:pPr>
    </w:p>
    <w:tbl>
      <w:tblPr>
        <w:tblW w:w="8160" w:type="dxa"/>
        <w:tblLook w:val="04A0" w:firstRow="1" w:lastRow="0" w:firstColumn="1" w:lastColumn="0" w:noHBand="0" w:noVBand="1"/>
      </w:tblPr>
      <w:tblGrid>
        <w:gridCol w:w="2040"/>
        <w:gridCol w:w="2040"/>
        <w:gridCol w:w="2040"/>
        <w:gridCol w:w="2040"/>
      </w:tblGrid>
      <w:tr w:rsidR="009A4B84" w:rsidRPr="009A4B84" w14:paraId="0EC2A341" w14:textId="77777777" w:rsidTr="009A4B84">
        <w:trPr>
          <w:trHeight w:val="408"/>
        </w:trPr>
        <w:tc>
          <w:tcPr>
            <w:tcW w:w="8160" w:type="dxa"/>
            <w:gridSpan w:val="4"/>
            <w:vMerge w:val="restart"/>
            <w:tcBorders>
              <w:top w:val="single" w:sz="8" w:space="0" w:color="auto"/>
              <w:left w:val="single" w:sz="8" w:space="0" w:color="auto"/>
              <w:bottom w:val="nil"/>
              <w:right w:val="single" w:sz="8" w:space="0" w:color="000000"/>
            </w:tcBorders>
            <w:shd w:val="clear" w:color="000000" w:fill="000000"/>
            <w:vAlign w:val="center"/>
            <w:hideMark/>
          </w:tcPr>
          <w:p w14:paraId="4E4D83B5" w14:textId="77777777" w:rsidR="009A4B84" w:rsidRPr="009A4B84" w:rsidRDefault="009A4B84" w:rsidP="009A4B84">
            <w:pPr>
              <w:spacing w:after="0" w:line="240" w:lineRule="auto"/>
              <w:jc w:val="center"/>
              <w:rPr>
                <w:rFonts w:ascii="Arial" w:eastAsia="Times New Roman" w:hAnsi="Arial" w:cs="Arial"/>
                <w:b/>
                <w:bCs/>
                <w:color w:val="FFFFFF"/>
                <w:sz w:val="28"/>
                <w:szCs w:val="28"/>
              </w:rPr>
            </w:pPr>
            <w:r w:rsidRPr="009A4B84">
              <w:rPr>
                <w:rFonts w:ascii="Arial" w:eastAsia="Times New Roman" w:hAnsi="Arial" w:cs="Arial"/>
                <w:b/>
                <w:bCs/>
                <w:color w:val="FFFFFF"/>
                <w:sz w:val="28"/>
                <w:szCs w:val="28"/>
              </w:rPr>
              <w:t>General Population Online Dispositions (N = 907)</w:t>
            </w:r>
          </w:p>
        </w:tc>
      </w:tr>
      <w:tr w:rsidR="009A4B84" w:rsidRPr="009A4B84" w14:paraId="2D3D4AFF" w14:textId="77777777" w:rsidTr="009A4B84">
        <w:trPr>
          <w:trHeight w:val="408"/>
        </w:trPr>
        <w:tc>
          <w:tcPr>
            <w:tcW w:w="8160" w:type="dxa"/>
            <w:gridSpan w:val="4"/>
            <w:vMerge/>
            <w:tcBorders>
              <w:top w:val="single" w:sz="8" w:space="0" w:color="auto"/>
              <w:left w:val="single" w:sz="8" w:space="0" w:color="auto"/>
              <w:bottom w:val="nil"/>
              <w:right w:val="single" w:sz="8" w:space="0" w:color="000000"/>
            </w:tcBorders>
            <w:vAlign w:val="center"/>
            <w:hideMark/>
          </w:tcPr>
          <w:p w14:paraId="5BFDA8B0" w14:textId="77777777" w:rsidR="009A4B84" w:rsidRPr="009A4B84" w:rsidRDefault="009A4B84" w:rsidP="009A4B84">
            <w:pPr>
              <w:spacing w:after="0" w:line="240" w:lineRule="auto"/>
              <w:rPr>
                <w:rFonts w:ascii="Arial" w:eastAsia="Times New Roman" w:hAnsi="Arial" w:cs="Arial"/>
                <w:b/>
                <w:bCs/>
                <w:color w:val="FFFFFF"/>
                <w:sz w:val="28"/>
                <w:szCs w:val="28"/>
              </w:rPr>
            </w:pPr>
          </w:p>
        </w:tc>
      </w:tr>
      <w:tr w:rsidR="009A4B84" w:rsidRPr="009A4B84" w14:paraId="40C423BA" w14:textId="77777777" w:rsidTr="009A4B84">
        <w:trPr>
          <w:trHeight w:val="264"/>
        </w:trPr>
        <w:tc>
          <w:tcPr>
            <w:tcW w:w="2040" w:type="dxa"/>
            <w:tcBorders>
              <w:top w:val="nil"/>
              <w:left w:val="single" w:sz="8" w:space="0" w:color="auto"/>
              <w:bottom w:val="nil"/>
              <w:right w:val="nil"/>
            </w:tcBorders>
            <w:shd w:val="clear" w:color="000000" w:fill="FFFFFF"/>
            <w:vAlign w:val="center"/>
            <w:hideMark/>
          </w:tcPr>
          <w:p w14:paraId="2372D10F" w14:textId="77777777" w:rsidR="009A4B84" w:rsidRPr="009A4B84" w:rsidRDefault="009A4B84" w:rsidP="009A4B84">
            <w:pPr>
              <w:spacing w:after="0" w:line="240" w:lineRule="auto"/>
              <w:ind w:firstLineChars="300" w:firstLine="600"/>
              <w:rPr>
                <w:rFonts w:ascii="Arial" w:eastAsia="Times New Roman" w:hAnsi="Arial" w:cs="Arial"/>
                <w:sz w:val="20"/>
                <w:szCs w:val="20"/>
              </w:rPr>
            </w:pPr>
            <w:r w:rsidRPr="009A4B84">
              <w:rPr>
                <w:rFonts w:ascii="Arial" w:eastAsia="Times New Roman" w:hAnsi="Arial" w:cs="Arial"/>
                <w:sz w:val="20"/>
                <w:szCs w:val="20"/>
              </w:rPr>
              <w:t> </w:t>
            </w:r>
          </w:p>
        </w:tc>
        <w:tc>
          <w:tcPr>
            <w:tcW w:w="2040" w:type="dxa"/>
            <w:tcBorders>
              <w:top w:val="nil"/>
              <w:left w:val="nil"/>
              <w:bottom w:val="nil"/>
              <w:right w:val="nil"/>
            </w:tcBorders>
            <w:shd w:val="clear" w:color="000000" w:fill="FFFFFF"/>
            <w:vAlign w:val="center"/>
            <w:hideMark/>
          </w:tcPr>
          <w:p w14:paraId="06CAFDAD" w14:textId="77777777" w:rsidR="009A4B84" w:rsidRPr="009A4B84" w:rsidRDefault="009A4B84" w:rsidP="009A4B84">
            <w:pPr>
              <w:spacing w:after="0" w:line="240" w:lineRule="auto"/>
              <w:ind w:firstLineChars="300" w:firstLine="600"/>
              <w:rPr>
                <w:rFonts w:ascii="Arial" w:eastAsia="Times New Roman" w:hAnsi="Arial" w:cs="Arial"/>
                <w:sz w:val="20"/>
                <w:szCs w:val="20"/>
              </w:rPr>
            </w:pPr>
            <w:r w:rsidRPr="009A4B84">
              <w:rPr>
                <w:rFonts w:ascii="Arial" w:eastAsia="Times New Roman" w:hAnsi="Arial" w:cs="Arial"/>
                <w:sz w:val="20"/>
                <w:szCs w:val="20"/>
              </w:rPr>
              <w:t> </w:t>
            </w:r>
          </w:p>
        </w:tc>
        <w:tc>
          <w:tcPr>
            <w:tcW w:w="2040" w:type="dxa"/>
            <w:tcBorders>
              <w:top w:val="nil"/>
              <w:left w:val="nil"/>
              <w:bottom w:val="nil"/>
              <w:right w:val="nil"/>
            </w:tcBorders>
            <w:shd w:val="clear" w:color="000000" w:fill="FFFFFF"/>
            <w:vAlign w:val="center"/>
            <w:hideMark/>
          </w:tcPr>
          <w:p w14:paraId="3472856E" w14:textId="77777777" w:rsidR="009A4B84" w:rsidRPr="009A4B84" w:rsidRDefault="009A4B84" w:rsidP="009A4B84">
            <w:pPr>
              <w:spacing w:after="0" w:line="240" w:lineRule="auto"/>
              <w:ind w:firstLineChars="300" w:firstLine="600"/>
              <w:rPr>
                <w:rFonts w:ascii="Arial" w:eastAsia="Times New Roman" w:hAnsi="Arial" w:cs="Arial"/>
                <w:sz w:val="20"/>
                <w:szCs w:val="20"/>
              </w:rPr>
            </w:pPr>
            <w:r w:rsidRPr="009A4B84">
              <w:rPr>
                <w:rFonts w:ascii="Arial" w:eastAsia="Times New Roman" w:hAnsi="Arial" w:cs="Arial"/>
                <w:sz w:val="20"/>
                <w:szCs w:val="20"/>
              </w:rPr>
              <w:t> </w:t>
            </w:r>
          </w:p>
        </w:tc>
        <w:tc>
          <w:tcPr>
            <w:tcW w:w="2040" w:type="dxa"/>
            <w:tcBorders>
              <w:top w:val="nil"/>
              <w:left w:val="nil"/>
              <w:bottom w:val="nil"/>
              <w:right w:val="single" w:sz="8" w:space="0" w:color="auto"/>
            </w:tcBorders>
            <w:shd w:val="clear" w:color="000000" w:fill="FFFFFF"/>
            <w:vAlign w:val="center"/>
            <w:hideMark/>
          </w:tcPr>
          <w:p w14:paraId="28758D8D" w14:textId="77777777" w:rsidR="009A4B84" w:rsidRPr="009A4B84" w:rsidRDefault="009A4B84" w:rsidP="009A4B84">
            <w:pPr>
              <w:spacing w:after="0" w:line="240" w:lineRule="auto"/>
              <w:jc w:val="center"/>
              <w:rPr>
                <w:rFonts w:ascii="Arial" w:eastAsia="Times New Roman" w:hAnsi="Arial" w:cs="Arial"/>
                <w:sz w:val="20"/>
                <w:szCs w:val="20"/>
              </w:rPr>
            </w:pPr>
            <w:r w:rsidRPr="009A4B84">
              <w:rPr>
                <w:rFonts w:ascii="Arial" w:eastAsia="Times New Roman" w:hAnsi="Arial" w:cs="Arial"/>
                <w:sz w:val="20"/>
                <w:szCs w:val="20"/>
              </w:rPr>
              <w:t> </w:t>
            </w:r>
          </w:p>
        </w:tc>
      </w:tr>
      <w:tr w:rsidR="009A4B84" w:rsidRPr="009A4B84" w14:paraId="3CE273B6" w14:textId="77777777" w:rsidTr="009A4B84">
        <w:trPr>
          <w:trHeight w:val="336"/>
        </w:trPr>
        <w:tc>
          <w:tcPr>
            <w:tcW w:w="6120" w:type="dxa"/>
            <w:gridSpan w:val="3"/>
            <w:tcBorders>
              <w:top w:val="nil"/>
              <w:left w:val="single" w:sz="8" w:space="0" w:color="auto"/>
              <w:bottom w:val="nil"/>
              <w:right w:val="nil"/>
            </w:tcBorders>
            <w:shd w:val="clear" w:color="000000" w:fill="FFFFFF"/>
            <w:noWrap/>
            <w:vAlign w:val="center"/>
            <w:hideMark/>
          </w:tcPr>
          <w:p w14:paraId="3F9B77AD" w14:textId="77777777" w:rsidR="009A4B84" w:rsidRPr="009A4B84" w:rsidRDefault="009A4B84" w:rsidP="009A4B84">
            <w:pPr>
              <w:spacing w:after="0" w:line="240" w:lineRule="auto"/>
              <w:ind w:firstLineChars="300" w:firstLine="783"/>
              <w:rPr>
                <w:rFonts w:ascii="Arial" w:eastAsia="Times New Roman" w:hAnsi="Arial" w:cs="Arial"/>
                <w:b/>
                <w:bCs/>
                <w:i/>
                <w:iCs/>
                <w:color w:val="000000"/>
                <w:sz w:val="26"/>
                <w:szCs w:val="26"/>
              </w:rPr>
            </w:pPr>
            <w:r w:rsidRPr="009A4B84">
              <w:rPr>
                <w:rFonts w:ascii="Arial" w:eastAsia="Times New Roman" w:hAnsi="Arial" w:cs="Arial"/>
                <w:b/>
                <w:bCs/>
                <w:i/>
                <w:iCs/>
                <w:color w:val="000000"/>
                <w:sz w:val="26"/>
                <w:szCs w:val="26"/>
              </w:rPr>
              <w:t>Description</w:t>
            </w:r>
          </w:p>
        </w:tc>
        <w:tc>
          <w:tcPr>
            <w:tcW w:w="2040" w:type="dxa"/>
            <w:tcBorders>
              <w:top w:val="nil"/>
              <w:left w:val="nil"/>
              <w:bottom w:val="nil"/>
              <w:right w:val="single" w:sz="8" w:space="0" w:color="auto"/>
            </w:tcBorders>
            <w:shd w:val="clear" w:color="000000" w:fill="FFFFFF"/>
            <w:noWrap/>
            <w:vAlign w:val="center"/>
            <w:hideMark/>
          </w:tcPr>
          <w:p w14:paraId="4A4B1145" w14:textId="77777777" w:rsidR="009A4B84" w:rsidRPr="009A4B84" w:rsidRDefault="009A4B84" w:rsidP="009A4B84">
            <w:pPr>
              <w:spacing w:after="0" w:line="240" w:lineRule="auto"/>
              <w:jc w:val="center"/>
              <w:rPr>
                <w:rFonts w:ascii="Arial" w:eastAsia="Times New Roman" w:hAnsi="Arial" w:cs="Arial"/>
                <w:b/>
                <w:bCs/>
                <w:i/>
                <w:iCs/>
                <w:color w:val="000000"/>
                <w:sz w:val="26"/>
                <w:szCs w:val="26"/>
              </w:rPr>
            </w:pPr>
            <w:r w:rsidRPr="009A4B84">
              <w:rPr>
                <w:rFonts w:ascii="Arial" w:eastAsia="Times New Roman" w:hAnsi="Arial" w:cs="Arial"/>
                <w:b/>
                <w:bCs/>
                <w:i/>
                <w:iCs/>
                <w:color w:val="000000"/>
                <w:sz w:val="26"/>
                <w:szCs w:val="26"/>
              </w:rPr>
              <w:t>TOTAL</w:t>
            </w:r>
          </w:p>
        </w:tc>
      </w:tr>
      <w:tr w:rsidR="009A4B84" w:rsidRPr="009A4B84" w14:paraId="65ED7C22" w14:textId="77777777" w:rsidTr="009A4B84">
        <w:trPr>
          <w:trHeight w:val="312"/>
        </w:trPr>
        <w:tc>
          <w:tcPr>
            <w:tcW w:w="6120" w:type="dxa"/>
            <w:gridSpan w:val="3"/>
            <w:tcBorders>
              <w:top w:val="nil"/>
              <w:left w:val="single" w:sz="8" w:space="0" w:color="auto"/>
              <w:bottom w:val="nil"/>
              <w:right w:val="nil"/>
            </w:tcBorders>
            <w:shd w:val="clear" w:color="000000" w:fill="FFFFFF"/>
            <w:noWrap/>
            <w:vAlign w:val="center"/>
            <w:hideMark/>
          </w:tcPr>
          <w:p w14:paraId="567DD951" w14:textId="77777777" w:rsidR="009A4B84" w:rsidRPr="009A4B84" w:rsidRDefault="009A4B84" w:rsidP="009A4B84">
            <w:pPr>
              <w:spacing w:after="0" w:line="240" w:lineRule="auto"/>
              <w:ind w:firstLineChars="300" w:firstLine="720"/>
              <w:rPr>
                <w:rFonts w:ascii="Arial" w:eastAsia="Times New Roman" w:hAnsi="Arial" w:cs="Arial"/>
                <w:color w:val="000000"/>
                <w:sz w:val="24"/>
                <w:szCs w:val="24"/>
              </w:rPr>
            </w:pPr>
            <w:r w:rsidRPr="009A4B84">
              <w:rPr>
                <w:rFonts w:ascii="Arial" w:eastAsia="Times New Roman" w:hAnsi="Arial" w:cs="Arial"/>
                <w:color w:val="000000"/>
                <w:sz w:val="24"/>
                <w:szCs w:val="24"/>
              </w:rPr>
              <w:t>Full Completes</w:t>
            </w:r>
          </w:p>
        </w:tc>
        <w:tc>
          <w:tcPr>
            <w:tcW w:w="2040" w:type="dxa"/>
            <w:tcBorders>
              <w:top w:val="nil"/>
              <w:left w:val="nil"/>
              <w:bottom w:val="nil"/>
              <w:right w:val="single" w:sz="8" w:space="0" w:color="auto"/>
            </w:tcBorders>
            <w:shd w:val="clear" w:color="000000" w:fill="FFFFFF"/>
            <w:noWrap/>
            <w:vAlign w:val="center"/>
            <w:hideMark/>
          </w:tcPr>
          <w:p w14:paraId="3506EE37" w14:textId="77777777" w:rsidR="009A4B84" w:rsidRPr="009A4B84" w:rsidRDefault="009A4B84" w:rsidP="009A4B84">
            <w:pPr>
              <w:spacing w:after="0" w:line="240" w:lineRule="auto"/>
              <w:jc w:val="center"/>
              <w:rPr>
                <w:rFonts w:ascii="Arial" w:eastAsia="Times New Roman" w:hAnsi="Arial" w:cs="Arial"/>
                <w:color w:val="000000"/>
                <w:sz w:val="24"/>
                <w:szCs w:val="24"/>
              </w:rPr>
            </w:pPr>
            <w:r w:rsidRPr="009A4B84">
              <w:rPr>
                <w:rFonts w:ascii="Arial" w:eastAsia="Times New Roman" w:hAnsi="Arial" w:cs="Arial"/>
                <w:color w:val="000000"/>
                <w:sz w:val="24"/>
                <w:szCs w:val="24"/>
              </w:rPr>
              <w:t>907</w:t>
            </w:r>
          </w:p>
        </w:tc>
      </w:tr>
      <w:tr w:rsidR="009A4B84" w:rsidRPr="009A4B84" w14:paraId="1C5920DA" w14:textId="77777777" w:rsidTr="009A4B84">
        <w:trPr>
          <w:trHeight w:val="312"/>
        </w:trPr>
        <w:tc>
          <w:tcPr>
            <w:tcW w:w="6120" w:type="dxa"/>
            <w:gridSpan w:val="3"/>
            <w:tcBorders>
              <w:top w:val="nil"/>
              <w:left w:val="single" w:sz="8" w:space="0" w:color="auto"/>
              <w:bottom w:val="nil"/>
              <w:right w:val="nil"/>
            </w:tcBorders>
            <w:shd w:val="clear" w:color="000000" w:fill="FFFFFF"/>
            <w:noWrap/>
            <w:vAlign w:val="center"/>
            <w:hideMark/>
          </w:tcPr>
          <w:p w14:paraId="62C0217B" w14:textId="77777777" w:rsidR="009A4B84" w:rsidRPr="009A4B84" w:rsidRDefault="009A4B84" w:rsidP="009A4B84">
            <w:pPr>
              <w:spacing w:after="0" w:line="240" w:lineRule="auto"/>
              <w:ind w:firstLineChars="300" w:firstLine="720"/>
              <w:rPr>
                <w:rFonts w:ascii="Arial" w:eastAsia="Times New Roman" w:hAnsi="Arial" w:cs="Arial"/>
                <w:color w:val="000000"/>
                <w:sz w:val="24"/>
                <w:szCs w:val="24"/>
              </w:rPr>
            </w:pPr>
            <w:r w:rsidRPr="009A4B84">
              <w:rPr>
                <w:rFonts w:ascii="Arial" w:eastAsia="Times New Roman" w:hAnsi="Arial" w:cs="Arial"/>
                <w:color w:val="000000"/>
                <w:sz w:val="24"/>
                <w:szCs w:val="24"/>
              </w:rPr>
              <w:t>Email Bouncebacks</w:t>
            </w:r>
          </w:p>
        </w:tc>
        <w:tc>
          <w:tcPr>
            <w:tcW w:w="2040" w:type="dxa"/>
            <w:tcBorders>
              <w:top w:val="nil"/>
              <w:left w:val="nil"/>
              <w:bottom w:val="nil"/>
              <w:right w:val="single" w:sz="8" w:space="0" w:color="auto"/>
            </w:tcBorders>
            <w:shd w:val="clear" w:color="000000" w:fill="FFFFFF"/>
            <w:noWrap/>
            <w:vAlign w:val="center"/>
            <w:hideMark/>
          </w:tcPr>
          <w:p w14:paraId="7FD1528E" w14:textId="77777777" w:rsidR="009A4B84" w:rsidRPr="009A4B84" w:rsidRDefault="009A4B84" w:rsidP="009A4B84">
            <w:pPr>
              <w:spacing w:after="0" w:line="240" w:lineRule="auto"/>
              <w:jc w:val="center"/>
              <w:rPr>
                <w:rFonts w:ascii="Arial" w:eastAsia="Times New Roman" w:hAnsi="Arial" w:cs="Arial"/>
                <w:color w:val="000000"/>
                <w:sz w:val="24"/>
                <w:szCs w:val="24"/>
              </w:rPr>
            </w:pPr>
            <w:r w:rsidRPr="009A4B84">
              <w:rPr>
                <w:rFonts w:ascii="Arial" w:eastAsia="Times New Roman" w:hAnsi="Arial" w:cs="Arial"/>
                <w:color w:val="000000"/>
                <w:sz w:val="24"/>
                <w:szCs w:val="24"/>
              </w:rPr>
              <w:t>24</w:t>
            </w:r>
          </w:p>
        </w:tc>
      </w:tr>
      <w:tr w:rsidR="009A4B84" w:rsidRPr="009A4B84" w14:paraId="32395D4D" w14:textId="77777777" w:rsidTr="009A4B84">
        <w:trPr>
          <w:trHeight w:val="312"/>
        </w:trPr>
        <w:tc>
          <w:tcPr>
            <w:tcW w:w="6120" w:type="dxa"/>
            <w:gridSpan w:val="3"/>
            <w:tcBorders>
              <w:top w:val="nil"/>
              <w:left w:val="single" w:sz="8" w:space="0" w:color="auto"/>
              <w:bottom w:val="nil"/>
              <w:right w:val="nil"/>
            </w:tcBorders>
            <w:shd w:val="clear" w:color="000000" w:fill="FFFFFF"/>
            <w:noWrap/>
            <w:vAlign w:val="center"/>
            <w:hideMark/>
          </w:tcPr>
          <w:p w14:paraId="224E0A10" w14:textId="77777777" w:rsidR="009A4B84" w:rsidRPr="009A4B84" w:rsidRDefault="009A4B84" w:rsidP="009A4B84">
            <w:pPr>
              <w:spacing w:after="0" w:line="240" w:lineRule="auto"/>
              <w:ind w:firstLineChars="300" w:firstLine="720"/>
              <w:rPr>
                <w:rFonts w:ascii="Arial" w:eastAsia="Times New Roman" w:hAnsi="Arial" w:cs="Arial"/>
                <w:color w:val="000000"/>
                <w:sz w:val="24"/>
                <w:szCs w:val="24"/>
              </w:rPr>
            </w:pPr>
            <w:r w:rsidRPr="009A4B84">
              <w:rPr>
                <w:rFonts w:ascii="Arial" w:eastAsia="Times New Roman" w:hAnsi="Arial" w:cs="Arial"/>
                <w:color w:val="000000"/>
                <w:sz w:val="24"/>
                <w:szCs w:val="24"/>
              </w:rPr>
              <w:t>Emails Unopened After Reminders</w:t>
            </w:r>
          </w:p>
        </w:tc>
        <w:tc>
          <w:tcPr>
            <w:tcW w:w="2040" w:type="dxa"/>
            <w:tcBorders>
              <w:top w:val="nil"/>
              <w:left w:val="nil"/>
              <w:bottom w:val="nil"/>
              <w:right w:val="single" w:sz="8" w:space="0" w:color="auto"/>
            </w:tcBorders>
            <w:shd w:val="clear" w:color="000000" w:fill="FFFFFF"/>
            <w:noWrap/>
            <w:vAlign w:val="center"/>
            <w:hideMark/>
          </w:tcPr>
          <w:p w14:paraId="26E4CA80" w14:textId="77777777" w:rsidR="009A4B84" w:rsidRPr="009A4B84" w:rsidRDefault="009A4B84" w:rsidP="009A4B84">
            <w:pPr>
              <w:spacing w:after="0" w:line="240" w:lineRule="auto"/>
              <w:jc w:val="center"/>
              <w:rPr>
                <w:rFonts w:ascii="Arial" w:eastAsia="Times New Roman" w:hAnsi="Arial" w:cs="Arial"/>
                <w:color w:val="000000"/>
                <w:sz w:val="24"/>
                <w:szCs w:val="24"/>
              </w:rPr>
            </w:pPr>
            <w:r w:rsidRPr="009A4B84">
              <w:rPr>
                <w:rFonts w:ascii="Arial" w:eastAsia="Times New Roman" w:hAnsi="Arial" w:cs="Arial"/>
                <w:color w:val="000000"/>
                <w:sz w:val="24"/>
                <w:szCs w:val="24"/>
              </w:rPr>
              <w:t>4,037</w:t>
            </w:r>
          </w:p>
        </w:tc>
      </w:tr>
      <w:tr w:rsidR="009A4B84" w:rsidRPr="009A4B84" w14:paraId="2836C405" w14:textId="77777777" w:rsidTr="009A4B84">
        <w:trPr>
          <w:trHeight w:val="312"/>
        </w:trPr>
        <w:tc>
          <w:tcPr>
            <w:tcW w:w="6120" w:type="dxa"/>
            <w:gridSpan w:val="3"/>
            <w:tcBorders>
              <w:top w:val="nil"/>
              <w:left w:val="single" w:sz="8" w:space="0" w:color="auto"/>
              <w:bottom w:val="nil"/>
              <w:right w:val="nil"/>
            </w:tcBorders>
            <w:shd w:val="clear" w:color="000000" w:fill="FFFFFF"/>
            <w:noWrap/>
            <w:vAlign w:val="center"/>
            <w:hideMark/>
          </w:tcPr>
          <w:p w14:paraId="5DBD33C7" w14:textId="77777777" w:rsidR="009A4B84" w:rsidRPr="009A4B84" w:rsidRDefault="009A4B84" w:rsidP="009A4B84">
            <w:pPr>
              <w:spacing w:after="0" w:line="240" w:lineRule="auto"/>
              <w:ind w:firstLineChars="300" w:firstLine="720"/>
              <w:rPr>
                <w:rFonts w:ascii="Arial" w:eastAsia="Times New Roman" w:hAnsi="Arial" w:cs="Arial"/>
                <w:color w:val="000000"/>
                <w:sz w:val="24"/>
                <w:szCs w:val="24"/>
              </w:rPr>
            </w:pPr>
            <w:r w:rsidRPr="009A4B84">
              <w:rPr>
                <w:rFonts w:ascii="Arial" w:eastAsia="Times New Roman" w:hAnsi="Arial" w:cs="Arial"/>
                <w:color w:val="000000"/>
                <w:sz w:val="24"/>
                <w:szCs w:val="24"/>
              </w:rPr>
              <w:t>Terminated Early/Breakoffs</w:t>
            </w:r>
          </w:p>
        </w:tc>
        <w:tc>
          <w:tcPr>
            <w:tcW w:w="2040" w:type="dxa"/>
            <w:tcBorders>
              <w:top w:val="nil"/>
              <w:left w:val="nil"/>
              <w:bottom w:val="nil"/>
              <w:right w:val="single" w:sz="8" w:space="0" w:color="auto"/>
            </w:tcBorders>
            <w:shd w:val="clear" w:color="000000" w:fill="FFFFFF"/>
            <w:noWrap/>
            <w:vAlign w:val="center"/>
            <w:hideMark/>
          </w:tcPr>
          <w:p w14:paraId="3E784D35" w14:textId="77777777" w:rsidR="009A4B84" w:rsidRPr="009A4B84" w:rsidRDefault="009A4B84" w:rsidP="009A4B84">
            <w:pPr>
              <w:spacing w:after="0" w:line="240" w:lineRule="auto"/>
              <w:jc w:val="center"/>
              <w:rPr>
                <w:rFonts w:ascii="Arial" w:eastAsia="Times New Roman" w:hAnsi="Arial" w:cs="Arial"/>
                <w:color w:val="000000"/>
                <w:sz w:val="24"/>
                <w:szCs w:val="24"/>
              </w:rPr>
            </w:pPr>
            <w:r w:rsidRPr="009A4B84">
              <w:rPr>
                <w:rFonts w:ascii="Arial" w:eastAsia="Times New Roman" w:hAnsi="Arial" w:cs="Arial"/>
                <w:color w:val="000000"/>
                <w:sz w:val="24"/>
                <w:szCs w:val="24"/>
              </w:rPr>
              <w:t>352</w:t>
            </w:r>
          </w:p>
        </w:tc>
      </w:tr>
      <w:tr w:rsidR="009A4B84" w:rsidRPr="009A4B84" w14:paraId="24ED7FDE" w14:textId="77777777" w:rsidTr="009A4B84">
        <w:trPr>
          <w:trHeight w:val="312"/>
        </w:trPr>
        <w:tc>
          <w:tcPr>
            <w:tcW w:w="6120" w:type="dxa"/>
            <w:gridSpan w:val="3"/>
            <w:tcBorders>
              <w:top w:val="nil"/>
              <w:left w:val="single" w:sz="8" w:space="0" w:color="auto"/>
              <w:bottom w:val="nil"/>
              <w:right w:val="nil"/>
            </w:tcBorders>
            <w:shd w:val="clear" w:color="000000" w:fill="FFFFFF"/>
            <w:noWrap/>
            <w:vAlign w:val="center"/>
            <w:hideMark/>
          </w:tcPr>
          <w:p w14:paraId="580ABE85" w14:textId="77777777" w:rsidR="009A4B84" w:rsidRPr="009A4B84" w:rsidRDefault="009A4B84" w:rsidP="009A4B84">
            <w:pPr>
              <w:spacing w:after="0" w:line="240" w:lineRule="auto"/>
              <w:ind w:firstLineChars="300" w:firstLine="720"/>
              <w:rPr>
                <w:rFonts w:ascii="Arial" w:eastAsia="Times New Roman" w:hAnsi="Arial" w:cs="Arial"/>
                <w:color w:val="000000"/>
                <w:sz w:val="24"/>
                <w:szCs w:val="24"/>
              </w:rPr>
            </w:pPr>
            <w:r w:rsidRPr="009A4B84">
              <w:rPr>
                <w:rFonts w:ascii="Arial" w:eastAsia="Times New Roman" w:hAnsi="Arial" w:cs="Arial"/>
                <w:color w:val="000000"/>
                <w:sz w:val="24"/>
                <w:szCs w:val="24"/>
              </w:rPr>
              <w:t>Screened Out/Disqualified</w:t>
            </w:r>
          </w:p>
        </w:tc>
        <w:tc>
          <w:tcPr>
            <w:tcW w:w="2040" w:type="dxa"/>
            <w:tcBorders>
              <w:top w:val="nil"/>
              <w:left w:val="nil"/>
              <w:bottom w:val="nil"/>
              <w:right w:val="single" w:sz="8" w:space="0" w:color="auto"/>
            </w:tcBorders>
            <w:shd w:val="clear" w:color="000000" w:fill="FFFFFF"/>
            <w:noWrap/>
            <w:vAlign w:val="center"/>
            <w:hideMark/>
          </w:tcPr>
          <w:p w14:paraId="2F3BD1D4" w14:textId="77777777" w:rsidR="009A4B84" w:rsidRPr="009A4B84" w:rsidRDefault="009A4B84" w:rsidP="009A4B84">
            <w:pPr>
              <w:spacing w:after="0" w:line="240" w:lineRule="auto"/>
              <w:jc w:val="center"/>
              <w:rPr>
                <w:rFonts w:ascii="Arial" w:eastAsia="Times New Roman" w:hAnsi="Arial" w:cs="Arial"/>
                <w:color w:val="000000"/>
                <w:sz w:val="24"/>
                <w:szCs w:val="24"/>
              </w:rPr>
            </w:pPr>
            <w:r w:rsidRPr="009A4B84">
              <w:rPr>
                <w:rFonts w:ascii="Arial" w:eastAsia="Times New Roman" w:hAnsi="Arial" w:cs="Arial"/>
                <w:color w:val="000000"/>
                <w:sz w:val="24"/>
                <w:szCs w:val="24"/>
              </w:rPr>
              <w:t>486</w:t>
            </w:r>
          </w:p>
        </w:tc>
      </w:tr>
      <w:tr w:rsidR="009A4B84" w:rsidRPr="009A4B84" w14:paraId="1DE2EE70" w14:textId="77777777" w:rsidTr="009A4B84">
        <w:trPr>
          <w:trHeight w:val="312"/>
        </w:trPr>
        <w:tc>
          <w:tcPr>
            <w:tcW w:w="6120" w:type="dxa"/>
            <w:gridSpan w:val="3"/>
            <w:tcBorders>
              <w:top w:val="nil"/>
              <w:left w:val="single" w:sz="8" w:space="0" w:color="auto"/>
              <w:bottom w:val="nil"/>
              <w:right w:val="nil"/>
            </w:tcBorders>
            <w:shd w:val="clear" w:color="000000" w:fill="FFFFFF"/>
            <w:noWrap/>
            <w:vAlign w:val="center"/>
            <w:hideMark/>
          </w:tcPr>
          <w:p w14:paraId="464F36EC" w14:textId="77777777" w:rsidR="009A4B84" w:rsidRPr="009A4B84" w:rsidRDefault="009A4B84" w:rsidP="009A4B84">
            <w:pPr>
              <w:spacing w:after="0" w:line="240" w:lineRule="auto"/>
              <w:ind w:firstLineChars="300" w:firstLine="720"/>
              <w:rPr>
                <w:rFonts w:ascii="Arial" w:eastAsia="Times New Roman" w:hAnsi="Arial" w:cs="Arial"/>
                <w:color w:val="000000"/>
                <w:sz w:val="24"/>
                <w:szCs w:val="24"/>
              </w:rPr>
            </w:pPr>
            <w:r w:rsidRPr="009A4B84">
              <w:rPr>
                <w:rFonts w:ascii="Arial" w:eastAsia="Times New Roman" w:hAnsi="Arial" w:cs="Arial"/>
                <w:color w:val="000000"/>
                <w:sz w:val="24"/>
                <w:szCs w:val="24"/>
              </w:rPr>
              <w:t>Refusals</w:t>
            </w:r>
          </w:p>
        </w:tc>
        <w:tc>
          <w:tcPr>
            <w:tcW w:w="2040" w:type="dxa"/>
            <w:tcBorders>
              <w:top w:val="nil"/>
              <w:left w:val="nil"/>
              <w:bottom w:val="nil"/>
              <w:right w:val="single" w:sz="8" w:space="0" w:color="auto"/>
            </w:tcBorders>
            <w:shd w:val="clear" w:color="000000" w:fill="FFFFFF"/>
            <w:noWrap/>
            <w:vAlign w:val="center"/>
            <w:hideMark/>
          </w:tcPr>
          <w:p w14:paraId="67FADC51" w14:textId="77777777" w:rsidR="009A4B84" w:rsidRPr="009A4B84" w:rsidRDefault="009A4B84" w:rsidP="009A4B84">
            <w:pPr>
              <w:spacing w:after="0" w:line="240" w:lineRule="auto"/>
              <w:jc w:val="center"/>
              <w:rPr>
                <w:rFonts w:ascii="Arial" w:eastAsia="Times New Roman" w:hAnsi="Arial" w:cs="Arial"/>
                <w:color w:val="000000"/>
                <w:sz w:val="24"/>
                <w:szCs w:val="24"/>
              </w:rPr>
            </w:pPr>
            <w:r w:rsidRPr="009A4B84">
              <w:rPr>
                <w:rFonts w:ascii="Arial" w:eastAsia="Times New Roman" w:hAnsi="Arial" w:cs="Arial"/>
                <w:color w:val="000000"/>
                <w:sz w:val="24"/>
                <w:szCs w:val="24"/>
              </w:rPr>
              <w:t>382</w:t>
            </w:r>
          </w:p>
        </w:tc>
      </w:tr>
      <w:tr w:rsidR="009A4B84" w:rsidRPr="009A4B84" w14:paraId="087687EC" w14:textId="77777777" w:rsidTr="009A4B84">
        <w:trPr>
          <w:trHeight w:val="312"/>
        </w:trPr>
        <w:tc>
          <w:tcPr>
            <w:tcW w:w="6120" w:type="dxa"/>
            <w:gridSpan w:val="3"/>
            <w:tcBorders>
              <w:top w:val="nil"/>
              <w:left w:val="single" w:sz="8" w:space="0" w:color="auto"/>
              <w:bottom w:val="nil"/>
              <w:right w:val="nil"/>
            </w:tcBorders>
            <w:shd w:val="clear" w:color="000000" w:fill="FFFFFF"/>
            <w:noWrap/>
            <w:vAlign w:val="center"/>
            <w:hideMark/>
          </w:tcPr>
          <w:p w14:paraId="25E1FE74" w14:textId="77777777" w:rsidR="009A4B84" w:rsidRPr="009A4B84" w:rsidRDefault="009A4B84" w:rsidP="009A4B84">
            <w:pPr>
              <w:spacing w:after="0" w:line="240" w:lineRule="auto"/>
              <w:ind w:firstLineChars="300" w:firstLine="720"/>
              <w:rPr>
                <w:rFonts w:ascii="Arial" w:eastAsia="Times New Roman" w:hAnsi="Arial" w:cs="Arial"/>
                <w:color w:val="000000"/>
                <w:sz w:val="24"/>
                <w:szCs w:val="24"/>
              </w:rPr>
            </w:pPr>
            <w:r w:rsidRPr="009A4B84">
              <w:rPr>
                <w:rFonts w:ascii="Arial" w:eastAsia="Times New Roman" w:hAnsi="Arial" w:cs="Arial"/>
                <w:color w:val="000000"/>
                <w:sz w:val="24"/>
                <w:szCs w:val="24"/>
              </w:rPr>
              <w:t>Total Contacts</w:t>
            </w:r>
          </w:p>
        </w:tc>
        <w:tc>
          <w:tcPr>
            <w:tcW w:w="2040" w:type="dxa"/>
            <w:tcBorders>
              <w:top w:val="nil"/>
              <w:left w:val="nil"/>
              <w:bottom w:val="nil"/>
              <w:right w:val="single" w:sz="8" w:space="0" w:color="auto"/>
            </w:tcBorders>
            <w:shd w:val="clear" w:color="000000" w:fill="FFFFFF"/>
            <w:noWrap/>
            <w:vAlign w:val="center"/>
            <w:hideMark/>
          </w:tcPr>
          <w:p w14:paraId="69EB71B8" w14:textId="77777777" w:rsidR="009A4B84" w:rsidRPr="009A4B84" w:rsidRDefault="009A4B84" w:rsidP="009A4B84">
            <w:pPr>
              <w:spacing w:after="0" w:line="240" w:lineRule="auto"/>
              <w:jc w:val="center"/>
              <w:rPr>
                <w:rFonts w:ascii="Arial" w:eastAsia="Times New Roman" w:hAnsi="Arial" w:cs="Arial"/>
                <w:color w:val="000000"/>
                <w:sz w:val="24"/>
                <w:szCs w:val="24"/>
              </w:rPr>
            </w:pPr>
            <w:r w:rsidRPr="009A4B84">
              <w:rPr>
                <w:rFonts w:ascii="Arial" w:eastAsia="Times New Roman" w:hAnsi="Arial" w:cs="Arial"/>
                <w:color w:val="000000"/>
                <w:sz w:val="24"/>
                <w:szCs w:val="24"/>
              </w:rPr>
              <w:t>6,246</w:t>
            </w:r>
          </w:p>
        </w:tc>
      </w:tr>
      <w:tr w:rsidR="009A4B84" w:rsidRPr="009A4B84" w14:paraId="016EDA8C" w14:textId="77777777" w:rsidTr="009A4B84">
        <w:trPr>
          <w:trHeight w:val="324"/>
        </w:trPr>
        <w:tc>
          <w:tcPr>
            <w:tcW w:w="6120" w:type="dxa"/>
            <w:gridSpan w:val="3"/>
            <w:tcBorders>
              <w:top w:val="nil"/>
              <w:left w:val="single" w:sz="8" w:space="0" w:color="auto"/>
              <w:bottom w:val="single" w:sz="8" w:space="0" w:color="auto"/>
              <w:right w:val="nil"/>
            </w:tcBorders>
            <w:shd w:val="clear" w:color="000000" w:fill="FFFFFF"/>
            <w:noWrap/>
            <w:vAlign w:val="center"/>
            <w:hideMark/>
          </w:tcPr>
          <w:p w14:paraId="464927AD" w14:textId="77777777" w:rsidR="009A4B84" w:rsidRPr="009A4B84" w:rsidRDefault="009A4B84" w:rsidP="009A4B84">
            <w:pPr>
              <w:spacing w:after="0" w:line="240" w:lineRule="auto"/>
              <w:ind w:firstLineChars="300" w:firstLine="720"/>
              <w:rPr>
                <w:rFonts w:ascii="Arial" w:eastAsia="Times New Roman" w:hAnsi="Arial" w:cs="Arial"/>
                <w:color w:val="000000"/>
                <w:sz w:val="24"/>
                <w:szCs w:val="24"/>
              </w:rPr>
            </w:pPr>
            <w:r w:rsidRPr="009A4B84">
              <w:rPr>
                <w:rFonts w:ascii="Arial" w:eastAsia="Times New Roman" w:hAnsi="Arial" w:cs="Arial"/>
                <w:color w:val="000000"/>
                <w:sz w:val="24"/>
                <w:szCs w:val="24"/>
              </w:rPr>
              <w:t> </w:t>
            </w:r>
          </w:p>
        </w:tc>
        <w:tc>
          <w:tcPr>
            <w:tcW w:w="2040" w:type="dxa"/>
            <w:tcBorders>
              <w:top w:val="nil"/>
              <w:left w:val="nil"/>
              <w:bottom w:val="single" w:sz="8" w:space="0" w:color="auto"/>
              <w:right w:val="single" w:sz="8" w:space="0" w:color="auto"/>
            </w:tcBorders>
            <w:shd w:val="clear" w:color="000000" w:fill="FFFFFF"/>
            <w:noWrap/>
            <w:vAlign w:val="center"/>
            <w:hideMark/>
          </w:tcPr>
          <w:p w14:paraId="7F83E180" w14:textId="77777777" w:rsidR="009A4B84" w:rsidRPr="009A4B84" w:rsidRDefault="009A4B84" w:rsidP="009A4B84">
            <w:pPr>
              <w:spacing w:after="0" w:line="240" w:lineRule="auto"/>
              <w:jc w:val="center"/>
              <w:rPr>
                <w:rFonts w:ascii="Arial" w:eastAsia="Times New Roman" w:hAnsi="Arial" w:cs="Arial"/>
                <w:color w:val="000000"/>
                <w:sz w:val="24"/>
                <w:szCs w:val="24"/>
              </w:rPr>
            </w:pPr>
            <w:r w:rsidRPr="009A4B84">
              <w:rPr>
                <w:rFonts w:ascii="Arial" w:eastAsia="Times New Roman" w:hAnsi="Arial" w:cs="Arial"/>
                <w:color w:val="000000"/>
                <w:sz w:val="24"/>
                <w:szCs w:val="24"/>
              </w:rPr>
              <w:t> </w:t>
            </w:r>
          </w:p>
        </w:tc>
      </w:tr>
      <w:tr w:rsidR="009A4B84" w:rsidRPr="009A4B84" w14:paraId="777CAE06" w14:textId="77777777" w:rsidTr="009A4B84">
        <w:trPr>
          <w:trHeight w:val="312"/>
        </w:trPr>
        <w:tc>
          <w:tcPr>
            <w:tcW w:w="2040" w:type="dxa"/>
            <w:tcBorders>
              <w:top w:val="nil"/>
              <w:left w:val="single" w:sz="8" w:space="0" w:color="auto"/>
              <w:bottom w:val="nil"/>
              <w:right w:val="nil"/>
            </w:tcBorders>
            <w:shd w:val="clear" w:color="000000" w:fill="FFFFFF"/>
            <w:noWrap/>
            <w:vAlign w:val="center"/>
            <w:hideMark/>
          </w:tcPr>
          <w:p w14:paraId="14C2E7D5" w14:textId="77777777" w:rsidR="009A4B84" w:rsidRPr="009A4B84" w:rsidRDefault="009A4B84" w:rsidP="009A4B84">
            <w:pPr>
              <w:spacing w:after="0" w:line="240" w:lineRule="auto"/>
              <w:ind w:firstLineChars="300" w:firstLine="720"/>
              <w:rPr>
                <w:rFonts w:ascii="Arial" w:eastAsia="Times New Roman" w:hAnsi="Arial" w:cs="Arial"/>
                <w:color w:val="000000"/>
                <w:sz w:val="24"/>
                <w:szCs w:val="24"/>
              </w:rPr>
            </w:pPr>
            <w:r w:rsidRPr="009A4B84">
              <w:rPr>
                <w:rFonts w:ascii="Arial" w:eastAsia="Times New Roman" w:hAnsi="Arial" w:cs="Arial"/>
                <w:color w:val="000000"/>
                <w:sz w:val="24"/>
                <w:szCs w:val="24"/>
              </w:rPr>
              <w:t> </w:t>
            </w:r>
          </w:p>
        </w:tc>
        <w:tc>
          <w:tcPr>
            <w:tcW w:w="2040" w:type="dxa"/>
            <w:tcBorders>
              <w:top w:val="nil"/>
              <w:left w:val="nil"/>
              <w:bottom w:val="nil"/>
              <w:right w:val="nil"/>
            </w:tcBorders>
            <w:shd w:val="clear" w:color="000000" w:fill="FFFFFF"/>
            <w:noWrap/>
            <w:vAlign w:val="center"/>
            <w:hideMark/>
          </w:tcPr>
          <w:p w14:paraId="144487FC" w14:textId="77777777" w:rsidR="009A4B84" w:rsidRPr="009A4B84" w:rsidRDefault="009A4B84" w:rsidP="009A4B84">
            <w:pPr>
              <w:spacing w:after="0" w:line="240" w:lineRule="auto"/>
              <w:ind w:firstLineChars="300" w:firstLine="720"/>
              <w:rPr>
                <w:rFonts w:ascii="Calibri" w:eastAsia="Times New Roman" w:hAnsi="Calibri" w:cs="Arial"/>
                <w:color w:val="000000"/>
                <w:sz w:val="24"/>
                <w:szCs w:val="24"/>
              </w:rPr>
            </w:pPr>
            <w:r w:rsidRPr="009A4B84">
              <w:rPr>
                <w:rFonts w:ascii="Calibri" w:eastAsia="Times New Roman" w:hAnsi="Calibri" w:cs="Arial"/>
                <w:color w:val="000000"/>
                <w:sz w:val="24"/>
                <w:szCs w:val="24"/>
              </w:rPr>
              <w:t> </w:t>
            </w:r>
          </w:p>
        </w:tc>
        <w:tc>
          <w:tcPr>
            <w:tcW w:w="2040" w:type="dxa"/>
            <w:tcBorders>
              <w:top w:val="nil"/>
              <w:left w:val="nil"/>
              <w:bottom w:val="nil"/>
              <w:right w:val="nil"/>
            </w:tcBorders>
            <w:shd w:val="clear" w:color="000000" w:fill="FFFFFF"/>
            <w:noWrap/>
            <w:vAlign w:val="center"/>
            <w:hideMark/>
          </w:tcPr>
          <w:p w14:paraId="242196F8" w14:textId="77777777" w:rsidR="009A4B84" w:rsidRPr="009A4B84" w:rsidRDefault="009A4B84" w:rsidP="009A4B84">
            <w:pPr>
              <w:spacing w:after="0" w:line="240" w:lineRule="auto"/>
              <w:ind w:firstLineChars="300" w:firstLine="720"/>
              <w:rPr>
                <w:rFonts w:ascii="Calibri" w:eastAsia="Times New Roman" w:hAnsi="Calibri" w:cs="Arial"/>
                <w:color w:val="000000"/>
                <w:sz w:val="24"/>
                <w:szCs w:val="24"/>
              </w:rPr>
            </w:pPr>
            <w:r w:rsidRPr="009A4B84">
              <w:rPr>
                <w:rFonts w:ascii="Calibri" w:eastAsia="Times New Roman" w:hAnsi="Calibri" w:cs="Arial"/>
                <w:color w:val="000000"/>
                <w:sz w:val="24"/>
                <w:szCs w:val="24"/>
              </w:rPr>
              <w:t> </w:t>
            </w:r>
          </w:p>
        </w:tc>
        <w:tc>
          <w:tcPr>
            <w:tcW w:w="2040" w:type="dxa"/>
            <w:tcBorders>
              <w:top w:val="nil"/>
              <w:left w:val="nil"/>
              <w:bottom w:val="nil"/>
              <w:right w:val="single" w:sz="8" w:space="0" w:color="auto"/>
            </w:tcBorders>
            <w:shd w:val="clear" w:color="000000" w:fill="FFFFFF"/>
            <w:noWrap/>
            <w:vAlign w:val="center"/>
            <w:hideMark/>
          </w:tcPr>
          <w:p w14:paraId="37A95DB5" w14:textId="77777777" w:rsidR="009A4B84" w:rsidRPr="009A4B84" w:rsidRDefault="009A4B84" w:rsidP="009A4B84">
            <w:pPr>
              <w:spacing w:after="0" w:line="240" w:lineRule="auto"/>
              <w:jc w:val="center"/>
              <w:rPr>
                <w:rFonts w:ascii="Arial" w:eastAsia="Times New Roman" w:hAnsi="Arial" w:cs="Arial"/>
                <w:color w:val="000000"/>
                <w:sz w:val="24"/>
                <w:szCs w:val="24"/>
              </w:rPr>
            </w:pPr>
            <w:r w:rsidRPr="009A4B84">
              <w:rPr>
                <w:rFonts w:ascii="Arial" w:eastAsia="Times New Roman" w:hAnsi="Arial" w:cs="Arial"/>
                <w:color w:val="000000"/>
                <w:sz w:val="24"/>
                <w:szCs w:val="24"/>
              </w:rPr>
              <w:t> </w:t>
            </w:r>
          </w:p>
        </w:tc>
      </w:tr>
      <w:tr w:rsidR="009A4B84" w:rsidRPr="009A4B84" w14:paraId="14C0BD99" w14:textId="77777777" w:rsidTr="009A4B84">
        <w:trPr>
          <w:trHeight w:val="360"/>
        </w:trPr>
        <w:tc>
          <w:tcPr>
            <w:tcW w:w="6120" w:type="dxa"/>
            <w:gridSpan w:val="3"/>
            <w:tcBorders>
              <w:top w:val="nil"/>
              <w:left w:val="single" w:sz="8" w:space="0" w:color="auto"/>
              <w:bottom w:val="nil"/>
              <w:right w:val="nil"/>
            </w:tcBorders>
            <w:shd w:val="clear" w:color="000000" w:fill="FFFFFF"/>
            <w:noWrap/>
            <w:vAlign w:val="center"/>
            <w:hideMark/>
          </w:tcPr>
          <w:p w14:paraId="052D066F" w14:textId="77777777" w:rsidR="009A4B84" w:rsidRPr="009A4B84" w:rsidRDefault="009A4B84" w:rsidP="009A4B84">
            <w:pPr>
              <w:spacing w:after="0" w:line="240" w:lineRule="auto"/>
              <w:ind w:firstLineChars="300" w:firstLine="843"/>
              <w:rPr>
                <w:rFonts w:ascii="Arial" w:eastAsia="Times New Roman" w:hAnsi="Arial" w:cs="Arial"/>
                <w:b/>
                <w:bCs/>
                <w:color w:val="000000"/>
                <w:sz w:val="28"/>
                <w:szCs w:val="28"/>
              </w:rPr>
            </w:pPr>
            <w:r w:rsidRPr="009A4B84">
              <w:rPr>
                <w:rFonts w:ascii="Arial" w:eastAsia="Times New Roman" w:hAnsi="Arial" w:cs="Arial"/>
                <w:b/>
                <w:bCs/>
                <w:color w:val="000000"/>
                <w:sz w:val="28"/>
                <w:szCs w:val="28"/>
              </w:rPr>
              <w:t>Response Rate</w:t>
            </w:r>
          </w:p>
        </w:tc>
        <w:tc>
          <w:tcPr>
            <w:tcW w:w="2040" w:type="dxa"/>
            <w:tcBorders>
              <w:top w:val="nil"/>
              <w:left w:val="nil"/>
              <w:bottom w:val="nil"/>
              <w:right w:val="single" w:sz="8" w:space="0" w:color="auto"/>
            </w:tcBorders>
            <w:shd w:val="clear" w:color="000000" w:fill="FFFFFF"/>
            <w:noWrap/>
            <w:vAlign w:val="center"/>
            <w:hideMark/>
          </w:tcPr>
          <w:p w14:paraId="2B5C7351" w14:textId="77777777" w:rsidR="009A4B84" w:rsidRPr="009A4B84" w:rsidRDefault="009A4B84" w:rsidP="009A4B84">
            <w:pPr>
              <w:spacing w:after="0" w:line="240" w:lineRule="auto"/>
              <w:jc w:val="center"/>
              <w:rPr>
                <w:rFonts w:ascii="Arial" w:eastAsia="Times New Roman" w:hAnsi="Arial" w:cs="Arial"/>
                <w:b/>
                <w:bCs/>
                <w:color w:val="000000"/>
                <w:sz w:val="28"/>
                <w:szCs w:val="28"/>
              </w:rPr>
            </w:pPr>
            <w:r w:rsidRPr="009A4B84">
              <w:rPr>
                <w:rFonts w:ascii="Arial" w:eastAsia="Times New Roman" w:hAnsi="Arial" w:cs="Arial"/>
                <w:b/>
                <w:bCs/>
                <w:color w:val="000000"/>
                <w:sz w:val="28"/>
                <w:szCs w:val="28"/>
              </w:rPr>
              <w:t>16.0%</w:t>
            </w:r>
          </w:p>
        </w:tc>
      </w:tr>
      <w:tr w:rsidR="009A4B84" w:rsidRPr="009A4B84" w14:paraId="25CA4EE2" w14:textId="77777777" w:rsidTr="009A4B84">
        <w:trPr>
          <w:trHeight w:val="360"/>
        </w:trPr>
        <w:tc>
          <w:tcPr>
            <w:tcW w:w="6120" w:type="dxa"/>
            <w:gridSpan w:val="3"/>
            <w:tcBorders>
              <w:top w:val="nil"/>
              <w:left w:val="single" w:sz="8" w:space="0" w:color="auto"/>
              <w:bottom w:val="nil"/>
              <w:right w:val="nil"/>
            </w:tcBorders>
            <w:shd w:val="clear" w:color="000000" w:fill="FFFFFF"/>
            <w:noWrap/>
            <w:vAlign w:val="center"/>
            <w:hideMark/>
          </w:tcPr>
          <w:p w14:paraId="413661E3" w14:textId="77777777" w:rsidR="009A4B84" w:rsidRPr="009A4B84" w:rsidRDefault="009A4B84" w:rsidP="009A4B84">
            <w:pPr>
              <w:spacing w:after="0" w:line="240" w:lineRule="auto"/>
              <w:ind w:firstLineChars="300" w:firstLine="843"/>
              <w:rPr>
                <w:rFonts w:ascii="Arial" w:eastAsia="Times New Roman" w:hAnsi="Arial" w:cs="Arial"/>
                <w:b/>
                <w:bCs/>
                <w:color w:val="000000"/>
                <w:sz w:val="28"/>
                <w:szCs w:val="28"/>
              </w:rPr>
            </w:pPr>
            <w:r w:rsidRPr="009A4B84">
              <w:rPr>
                <w:rFonts w:ascii="Arial" w:eastAsia="Times New Roman" w:hAnsi="Arial" w:cs="Arial"/>
                <w:b/>
                <w:bCs/>
                <w:color w:val="000000"/>
                <w:sz w:val="28"/>
                <w:szCs w:val="28"/>
              </w:rPr>
              <w:t>Cooperation Rate</w:t>
            </w:r>
          </w:p>
        </w:tc>
        <w:tc>
          <w:tcPr>
            <w:tcW w:w="2040" w:type="dxa"/>
            <w:tcBorders>
              <w:top w:val="nil"/>
              <w:left w:val="nil"/>
              <w:bottom w:val="nil"/>
              <w:right w:val="single" w:sz="8" w:space="0" w:color="auto"/>
            </w:tcBorders>
            <w:shd w:val="clear" w:color="000000" w:fill="FFFFFF"/>
            <w:noWrap/>
            <w:vAlign w:val="center"/>
            <w:hideMark/>
          </w:tcPr>
          <w:p w14:paraId="5E5609FE" w14:textId="77777777" w:rsidR="009A4B84" w:rsidRPr="009A4B84" w:rsidRDefault="009A4B84" w:rsidP="009A4B84">
            <w:pPr>
              <w:spacing w:after="0" w:line="240" w:lineRule="auto"/>
              <w:jc w:val="center"/>
              <w:rPr>
                <w:rFonts w:ascii="Arial" w:eastAsia="Times New Roman" w:hAnsi="Arial" w:cs="Arial"/>
                <w:b/>
                <w:bCs/>
                <w:color w:val="000000"/>
                <w:sz w:val="28"/>
                <w:szCs w:val="28"/>
              </w:rPr>
            </w:pPr>
            <w:r w:rsidRPr="009A4B84">
              <w:rPr>
                <w:rFonts w:ascii="Arial" w:eastAsia="Times New Roman" w:hAnsi="Arial" w:cs="Arial"/>
                <w:b/>
                <w:bCs/>
                <w:color w:val="000000"/>
                <w:sz w:val="28"/>
                <w:szCs w:val="28"/>
              </w:rPr>
              <w:t>55.3%</w:t>
            </w:r>
          </w:p>
        </w:tc>
      </w:tr>
      <w:tr w:rsidR="009A4B84" w:rsidRPr="009A4B84" w14:paraId="2F3AA524" w14:textId="77777777" w:rsidTr="009A4B84">
        <w:trPr>
          <w:trHeight w:val="360"/>
        </w:trPr>
        <w:tc>
          <w:tcPr>
            <w:tcW w:w="6120" w:type="dxa"/>
            <w:gridSpan w:val="3"/>
            <w:tcBorders>
              <w:top w:val="nil"/>
              <w:left w:val="single" w:sz="8" w:space="0" w:color="auto"/>
              <w:bottom w:val="nil"/>
              <w:right w:val="nil"/>
            </w:tcBorders>
            <w:shd w:val="clear" w:color="000000" w:fill="FFFFFF"/>
            <w:noWrap/>
            <w:vAlign w:val="center"/>
            <w:hideMark/>
          </w:tcPr>
          <w:p w14:paraId="5D41065F" w14:textId="77777777" w:rsidR="009A4B84" w:rsidRPr="009A4B84" w:rsidRDefault="009A4B84" w:rsidP="009A4B84">
            <w:pPr>
              <w:spacing w:after="0" w:line="240" w:lineRule="auto"/>
              <w:ind w:firstLineChars="300" w:firstLine="843"/>
              <w:rPr>
                <w:rFonts w:ascii="Arial" w:eastAsia="Times New Roman" w:hAnsi="Arial" w:cs="Arial"/>
                <w:b/>
                <w:bCs/>
                <w:color w:val="000000"/>
                <w:sz w:val="28"/>
                <w:szCs w:val="28"/>
              </w:rPr>
            </w:pPr>
            <w:r w:rsidRPr="009A4B84">
              <w:rPr>
                <w:rFonts w:ascii="Arial" w:eastAsia="Times New Roman" w:hAnsi="Arial" w:cs="Arial"/>
                <w:b/>
                <w:bCs/>
                <w:color w:val="000000"/>
                <w:sz w:val="28"/>
                <w:szCs w:val="28"/>
              </w:rPr>
              <w:t>Refusal Rate</w:t>
            </w:r>
          </w:p>
        </w:tc>
        <w:tc>
          <w:tcPr>
            <w:tcW w:w="2040" w:type="dxa"/>
            <w:tcBorders>
              <w:top w:val="nil"/>
              <w:left w:val="nil"/>
              <w:bottom w:val="nil"/>
              <w:right w:val="single" w:sz="8" w:space="0" w:color="auto"/>
            </w:tcBorders>
            <w:shd w:val="clear" w:color="000000" w:fill="FFFFFF"/>
            <w:noWrap/>
            <w:vAlign w:val="center"/>
            <w:hideMark/>
          </w:tcPr>
          <w:p w14:paraId="229E5549" w14:textId="77777777" w:rsidR="009A4B84" w:rsidRPr="009A4B84" w:rsidRDefault="009A4B84" w:rsidP="009A4B84">
            <w:pPr>
              <w:spacing w:after="0" w:line="240" w:lineRule="auto"/>
              <w:jc w:val="center"/>
              <w:rPr>
                <w:rFonts w:ascii="Arial" w:eastAsia="Times New Roman" w:hAnsi="Arial" w:cs="Arial"/>
                <w:b/>
                <w:bCs/>
                <w:color w:val="000000"/>
                <w:sz w:val="28"/>
                <w:szCs w:val="28"/>
              </w:rPr>
            </w:pPr>
            <w:r w:rsidRPr="009A4B84">
              <w:rPr>
                <w:rFonts w:ascii="Arial" w:eastAsia="Times New Roman" w:hAnsi="Arial" w:cs="Arial"/>
                <w:b/>
                <w:bCs/>
                <w:color w:val="000000"/>
                <w:sz w:val="28"/>
                <w:szCs w:val="28"/>
              </w:rPr>
              <w:t>6.7%</w:t>
            </w:r>
          </w:p>
        </w:tc>
      </w:tr>
      <w:tr w:rsidR="009A4B84" w:rsidRPr="009A4B84" w14:paraId="64714BB9" w14:textId="77777777" w:rsidTr="009A4B84">
        <w:trPr>
          <w:trHeight w:val="276"/>
        </w:trPr>
        <w:tc>
          <w:tcPr>
            <w:tcW w:w="2040" w:type="dxa"/>
            <w:tcBorders>
              <w:top w:val="nil"/>
              <w:left w:val="single" w:sz="8" w:space="0" w:color="auto"/>
              <w:bottom w:val="single" w:sz="8" w:space="0" w:color="auto"/>
              <w:right w:val="nil"/>
            </w:tcBorders>
            <w:shd w:val="clear" w:color="000000" w:fill="FFFFFF"/>
            <w:noWrap/>
            <w:vAlign w:val="center"/>
            <w:hideMark/>
          </w:tcPr>
          <w:p w14:paraId="77DE24D3" w14:textId="77777777" w:rsidR="009A4B84" w:rsidRPr="009A4B84" w:rsidRDefault="009A4B84" w:rsidP="009A4B84">
            <w:pPr>
              <w:spacing w:after="0" w:line="240" w:lineRule="auto"/>
              <w:ind w:firstLineChars="300" w:firstLine="600"/>
              <w:rPr>
                <w:rFonts w:ascii="Arial" w:eastAsia="Times New Roman" w:hAnsi="Arial" w:cs="Arial"/>
                <w:sz w:val="20"/>
                <w:szCs w:val="20"/>
              </w:rPr>
            </w:pPr>
            <w:r w:rsidRPr="009A4B84">
              <w:rPr>
                <w:rFonts w:ascii="Arial" w:eastAsia="Times New Roman" w:hAnsi="Arial" w:cs="Arial"/>
                <w:sz w:val="20"/>
                <w:szCs w:val="20"/>
              </w:rPr>
              <w:t> </w:t>
            </w:r>
          </w:p>
        </w:tc>
        <w:tc>
          <w:tcPr>
            <w:tcW w:w="2040" w:type="dxa"/>
            <w:tcBorders>
              <w:top w:val="nil"/>
              <w:left w:val="nil"/>
              <w:bottom w:val="single" w:sz="8" w:space="0" w:color="auto"/>
              <w:right w:val="nil"/>
            </w:tcBorders>
            <w:shd w:val="clear" w:color="000000" w:fill="FFFFFF"/>
            <w:noWrap/>
            <w:vAlign w:val="center"/>
            <w:hideMark/>
          </w:tcPr>
          <w:p w14:paraId="2037AF2F" w14:textId="77777777" w:rsidR="009A4B84" w:rsidRPr="009A4B84" w:rsidRDefault="009A4B84" w:rsidP="009A4B84">
            <w:pPr>
              <w:spacing w:after="0" w:line="240" w:lineRule="auto"/>
              <w:ind w:firstLineChars="300" w:firstLine="600"/>
              <w:rPr>
                <w:rFonts w:ascii="Arial" w:eastAsia="Times New Roman" w:hAnsi="Arial" w:cs="Arial"/>
                <w:sz w:val="20"/>
                <w:szCs w:val="20"/>
              </w:rPr>
            </w:pPr>
            <w:r w:rsidRPr="009A4B84">
              <w:rPr>
                <w:rFonts w:ascii="Arial" w:eastAsia="Times New Roman" w:hAnsi="Arial" w:cs="Arial"/>
                <w:sz w:val="20"/>
                <w:szCs w:val="20"/>
              </w:rPr>
              <w:t> </w:t>
            </w:r>
          </w:p>
        </w:tc>
        <w:tc>
          <w:tcPr>
            <w:tcW w:w="2040" w:type="dxa"/>
            <w:tcBorders>
              <w:top w:val="nil"/>
              <w:left w:val="nil"/>
              <w:bottom w:val="single" w:sz="8" w:space="0" w:color="auto"/>
              <w:right w:val="nil"/>
            </w:tcBorders>
            <w:shd w:val="clear" w:color="000000" w:fill="FFFFFF"/>
            <w:noWrap/>
            <w:vAlign w:val="center"/>
            <w:hideMark/>
          </w:tcPr>
          <w:p w14:paraId="134873B8" w14:textId="77777777" w:rsidR="009A4B84" w:rsidRPr="009A4B84" w:rsidRDefault="009A4B84" w:rsidP="009A4B84">
            <w:pPr>
              <w:spacing w:after="0" w:line="240" w:lineRule="auto"/>
              <w:ind w:firstLineChars="300" w:firstLine="600"/>
              <w:rPr>
                <w:rFonts w:ascii="Arial" w:eastAsia="Times New Roman" w:hAnsi="Arial" w:cs="Arial"/>
                <w:sz w:val="20"/>
                <w:szCs w:val="20"/>
              </w:rPr>
            </w:pPr>
            <w:r w:rsidRPr="009A4B84">
              <w:rPr>
                <w:rFonts w:ascii="Arial" w:eastAsia="Times New Roman" w:hAnsi="Arial" w:cs="Arial"/>
                <w:sz w:val="20"/>
                <w:szCs w:val="20"/>
              </w:rPr>
              <w:t> </w:t>
            </w:r>
          </w:p>
        </w:tc>
        <w:tc>
          <w:tcPr>
            <w:tcW w:w="2040" w:type="dxa"/>
            <w:tcBorders>
              <w:top w:val="nil"/>
              <w:left w:val="nil"/>
              <w:bottom w:val="single" w:sz="8" w:space="0" w:color="auto"/>
              <w:right w:val="single" w:sz="8" w:space="0" w:color="auto"/>
            </w:tcBorders>
            <w:shd w:val="clear" w:color="000000" w:fill="FFFFFF"/>
            <w:noWrap/>
            <w:vAlign w:val="center"/>
            <w:hideMark/>
          </w:tcPr>
          <w:p w14:paraId="5D8C24EC" w14:textId="77777777" w:rsidR="009A4B84" w:rsidRPr="009A4B84" w:rsidRDefault="009A4B84" w:rsidP="009A4B84">
            <w:pPr>
              <w:spacing w:after="0" w:line="240" w:lineRule="auto"/>
              <w:jc w:val="center"/>
              <w:rPr>
                <w:rFonts w:ascii="Arial" w:eastAsia="Times New Roman" w:hAnsi="Arial" w:cs="Arial"/>
                <w:sz w:val="20"/>
                <w:szCs w:val="20"/>
              </w:rPr>
            </w:pPr>
            <w:r w:rsidRPr="009A4B84">
              <w:rPr>
                <w:rFonts w:ascii="Arial" w:eastAsia="Times New Roman" w:hAnsi="Arial" w:cs="Arial"/>
                <w:sz w:val="20"/>
                <w:szCs w:val="20"/>
              </w:rPr>
              <w:t> </w:t>
            </w:r>
          </w:p>
        </w:tc>
      </w:tr>
    </w:tbl>
    <w:p w14:paraId="6CD8D573" w14:textId="77777777" w:rsidR="009A5C0D" w:rsidRPr="009A5C0D" w:rsidRDefault="009A5C0D" w:rsidP="009A5C0D">
      <w:pPr>
        <w:rPr>
          <w:rFonts w:ascii="Arial" w:hAnsi="Arial" w:cs="Arial"/>
          <w:b/>
        </w:rPr>
      </w:pPr>
    </w:p>
    <w:p w14:paraId="55817CC2" w14:textId="77777777" w:rsidR="009A5C0D" w:rsidRDefault="009A5C0D" w:rsidP="009A5C0D">
      <w:pPr>
        <w:rPr>
          <w:rFonts w:ascii="Arial" w:hAnsi="Arial" w:cs="Arial"/>
          <w:b/>
          <w:sz w:val="26"/>
          <w:szCs w:val="26"/>
        </w:rPr>
      </w:pPr>
    </w:p>
    <w:p w14:paraId="639C128A" w14:textId="77777777" w:rsidR="009A5C0D" w:rsidRDefault="009A5C0D" w:rsidP="009A5C0D">
      <w:pPr>
        <w:rPr>
          <w:rFonts w:ascii="Arial" w:hAnsi="Arial" w:cs="Arial"/>
          <w:b/>
          <w:sz w:val="26"/>
          <w:szCs w:val="26"/>
        </w:rPr>
      </w:pPr>
    </w:p>
    <w:p w14:paraId="75801FD5" w14:textId="77777777" w:rsidR="009A5C0D" w:rsidRDefault="009A5C0D" w:rsidP="009A5C0D">
      <w:pPr>
        <w:rPr>
          <w:rFonts w:ascii="Arial" w:hAnsi="Arial" w:cs="Arial"/>
          <w:b/>
          <w:sz w:val="26"/>
          <w:szCs w:val="26"/>
        </w:rPr>
      </w:pPr>
    </w:p>
    <w:p w14:paraId="4F521734" w14:textId="77777777" w:rsidR="009A5C0D" w:rsidRDefault="009A5C0D" w:rsidP="009A5C0D">
      <w:pPr>
        <w:rPr>
          <w:rFonts w:ascii="Arial" w:hAnsi="Arial" w:cs="Arial"/>
          <w:b/>
          <w:sz w:val="26"/>
          <w:szCs w:val="26"/>
        </w:rPr>
      </w:pPr>
    </w:p>
    <w:p w14:paraId="1B51043A" w14:textId="77777777" w:rsidR="009A5C0D" w:rsidRDefault="009A5C0D" w:rsidP="009A5C0D">
      <w:pPr>
        <w:rPr>
          <w:rFonts w:ascii="Arial" w:hAnsi="Arial" w:cs="Arial"/>
          <w:b/>
          <w:sz w:val="26"/>
          <w:szCs w:val="26"/>
        </w:rPr>
      </w:pPr>
    </w:p>
    <w:p w14:paraId="0E1BF2D9" w14:textId="77777777" w:rsidR="009A5C0D" w:rsidRDefault="009A5C0D" w:rsidP="009A5C0D">
      <w:pPr>
        <w:rPr>
          <w:rFonts w:ascii="Arial" w:hAnsi="Arial" w:cs="Arial"/>
          <w:b/>
          <w:sz w:val="26"/>
          <w:szCs w:val="26"/>
        </w:rPr>
      </w:pPr>
    </w:p>
    <w:p w14:paraId="61403723" w14:textId="77777777" w:rsidR="009A5C0D" w:rsidRDefault="009A5C0D" w:rsidP="009A5C0D">
      <w:pPr>
        <w:rPr>
          <w:rFonts w:ascii="Arial" w:hAnsi="Arial" w:cs="Arial"/>
          <w:b/>
          <w:sz w:val="26"/>
          <w:szCs w:val="26"/>
        </w:rPr>
      </w:pPr>
    </w:p>
    <w:p w14:paraId="77901E6A" w14:textId="77777777" w:rsidR="009A5C0D" w:rsidRDefault="009A5C0D" w:rsidP="009A5C0D">
      <w:pPr>
        <w:rPr>
          <w:rFonts w:ascii="Arial" w:hAnsi="Arial" w:cs="Arial"/>
          <w:b/>
          <w:sz w:val="26"/>
          <w:szCs w:val="26"/>
        </w:rPr>
      </w:pPr>
    </w:p>
    <w:p w14:paraId="6EEBCD81" w14:textId="77777777" w:rsidR="009A5C0D" w:rsidRDefault="009A5C0D" w:rsidP="009A5C0D">
      <w:pPr>
        <w:rPr>
          <w:rFonts w:ascii="Arial" w:hAnsi="Arial" w:cs="Arial"/>
          <w:b/>
          <w:sz w:val="26"/>
          <w:szCs w:val="26"/>
        </w:rPr>
      </w:pPr>
    </w:p>
    <w:p w14:paraId="6737B796" w14:textId="77777777" w:rsidR="009A5C0D" w:rsidRDefault="009A5C0D" w:rsidP="009A5C0D">
      <w:pPr>
        <w:rPr>
          <w:rFonts w:ascii="Arial" w:hAnsi="Arial" w:cs="Arial"/>
          <w:b/>
          <w:sz w:val="26"/>
          <w:szCs w:val="26"/>
        </w:rPr>
      </w:pPr>
    </w:p>
    <w:p w14:paraId="5F8ADAB8" w14:textId="77777777" w:rsidR="009A5C0D" w:rsidRDefault="009A5C0D" w:rsidP="009A5C0D">
      <w:pPr>
        <w:rPr>
          <w:rFonts w:ascii="Arial" w:hAnsi="Arial" w:cs="Arial"/>
          <w:b/>
          <w:sz w:val="26"/>
          <w:szCs w:val="26"/>
        </w:rPr>
      </w:pPr>
    </w:p>
    <w:p w14:paraId="6CF5ADE4" w14:textId="77777777" w:rsidR="009A5C0D" w:rsidRDefault="009A5C0D" w:rsidP="009A5C0D">
      <w:pPr>
        <w:rPr>
          <w:rFonts w:ascii="Arial" w:hAnsi="Arial" w:cs="Arial"/>
          <w:b/>
          <w:sz w:val="26"/>
          <w:szCs w:val="26"/>
        </w:rPr>
      </w:pPr>
    </w:p>
    <w:p w14:paraId="281CF6FF" w14:textId="04750433" w:rsidR="009A5C0D" w:rsidRPr="00257B8B" w:rsidRDefault="009A5C0D" w:rsidP="009A5C0D">
      <w:pPr>
        <w:rPr>
          <w:rFonts w:ascii="Arial" w:hAnsi="Arial" w:cs="Arial"/>
          <w:b/>
          <w:sz w:val="32"/>
          <w:szCs w:val="32"/>
        </w:rPr>
      </w:pPr>
      <w:r w:rsidRPr="00191417">
        <w:rPr>
          <w:rFonts w:ascii="Arial" w:hAnsi="Arial" w:cs="Arial"/>
          <w:b/>
          <w:sz w:val="32"/>
          <w:szCs w:val="32"/>
        </w:rPr>
        <w:t>Phone Survey, Dispositions and Response Rates</w:t>
      </w:r>
    </w:p>
    <w:p w14:paraId="3062D801" w14:textId="22FDFA38" w:rsidR="004F3D79" w:rsidRPr="004F3D79" w:rsidRDefault="004F3D79" w:rsidP="009A5C0D">
      <w:pPr>
        <w:rPr>
          <w:rFonts w:ascii="Arial" w:hAnsi="Arial" w:cs="Arial"/>
          <w:b/>
          <w:sz w:val="16"/>
          <w:szCs w:val="16"/>
        </w:rPr>
      </w:pPr>
    </w:p>
    <w:p w14:paraId="7A3C4F27" w14:textId="10984BF3" w:rsidR="00257B8B" w:rsidRPr="009A5C0D" w:rsidRDefault="00725301" w:rsidP="0061745C">
      <w:pPr>
        <w:rPr>
          <w:rFonts w:ascii="Arial" w:eastAsia="Arial" w:hAnsi="Arial" w:cs="Arial"/>
          <w:b/>
          <w:color w:val="000000"/>
          <w:highlight w:val="lightGray"/>
        </w:rPr>
      </w:pPr>
      <w:bookmarkStart w:id="1" w:name="_GoBack"/>
      <w:r w:rsidRPr="00725301">
        <w:rPr>
          <w:highlight w:val="lightGray"/>
        </w:rPr>
        <w:drawing>
          <wp:inline distT="0" distB="0" distL="0" distR="0" wp14:anchorId="46308FA4" wp14:editId="43AF2ED2">
            <wp:extent cx="5943600" cy="5714365"/>
            <wp:effectExtent l="0" t="0" r="0" b="63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714365"/>
                    </a:xfrm>
                    <a:prstGeom prst="rect">
                      <a:avLst/>
                    </a:prstGeom>
                    <a:noFill/>
                    <a:ln>
                      <a:noFill/>
                    </a:ln>
                  </pic:spPr>
                </pic:pic>
              </a:graphicData>
            </a:graphic>
          </wp:inline>
        </w:drawing>
      </w:r>
      <w:bookmarkEnd w:id="1"/>
    </w:p>
    <w:p w14:paraId="76B5860C" w14:textId="785DE0DA" w:rsidR="009A5C0D" w:rsidRPr="00257B8B" w:rsidRDefault="009A5C0D" w:rsidP="0061745C">
      <w:pPr>
        <w:rPr>
          <w:rFonts w:ascii="Arial" w:eastAsia="Arial" w:hAnsi="Arial" w:cs="Arial"/>
          <w:b/>
          <w:color w:val="000000"/>
          <w:sz w:val="44"/>
          <w:szCs w:val="44"/>
          <w:highlight w:val="lightGray"/>
        </w:rPr>
      </w:pPr>
    </w:p>
    <w:sectPr w:rsidR="009A5C0D" w:rsidRPr="00257B8B" w:rsidSect="00F536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E9392" w14:textId="77777777" w:rsidR="001D5DB6" w:rsidRDefault="001D5DB6" w:rsidP="00257B8B">
      <w:pPr>
        <w:spacing w:after="0" w:line="240" w:lineRule="auto"/>
      </w:pPr>
      <w:r>
        <w:separator/>
      </w:r>
    </w:p>
  </w:endnote>
  <w:endnote w:type="continuationSeparator" w:id="0">
    <w:p w14:paraId="5693E2A9" w14:textId="77777777" w:rsidR="001D5DB6" w:rsidRDefault="001D5DB6" w:rsidP="00257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CFFBB" w14:textId="77777777" w:rsidR="001D5DB6" w:rsidRDefault="001D5DB6" w:rsidP="00257B8B">
      <w:pPr>
        <w:spacing w:after="0" w:line="240" w:lineRule="auto"/>
      </w:pPr>
      <w:r>
        <w:separator/>
      </w:r>
    </w:p>
  </w:footnote>
  <w:footnote w:type="continuationSeparator" w:id="0">
    <w:p w14:paraId="6AF0FE2E" w14:textId="77777777" w:rsidR="001D5DB6" w:rsidRDefault="001D5DB6" w:rsidP="00257B8B">
      <w:pPr>
        <w:spacing w:after="0" w:line="240" w:lineRule="auto"/>
      </w:pPr>
      <w:r>
        <w:continuationSeparator/>
      </w:r>
    </w:p>
  </w:footnote>
  <w:footnote w:id="1">
    <w:p w14:paraId="552DDF32" w14:textId="77777777" w:rsidR="00257B8B" w:rsidRPr="00C601A9" w:rsidRDefault="00257B8B" w:rsidP="00257B8B">
      <w:pPr>
        <w:pStyle w:val="FootnoteText"/>
      </w:pPr>
      <w:r w:rsidRPr="00C601A9">
        <w:rPr>
          <w:rStyle w:val="FootnoteReference"/>
        </w:rPr>
        <w:footnoteRef/>
      </w:r>
      <w:r w:rsidRPr="00C601A9">
        <w:rPr>
          <w:vertAlign w:val="superscript"/>
        </w:rPr>
        <w:t xml:space="preserve"> </w:t>
      </w:r>
      <w:r w:rsidRPr="00C601A9">
        <w:t>For more information about Fulcrum, see: Lucid, Fulcrum [</w:t>
      </w:r>
      <w:r>
        <w:t>W</w:t>
      </w:r>
      <w:r w:rsidRPr="00C601A9">
        <w:t xml:space="preserve">eb page], retrieved from https://luc.id/fulcrum </w:t>
      </w:r>
    </w:p>
    <w:p w14:paraId="5BD85708" w14:textId="77777777" w:rsidR="00257B8B" w:rsidRPr="00C601A9" w:rsidRDefault="00257B8B" w:rsidP="00257B8B">
      <w:pPr>
        <w:pStyle w:val="FootnoteText"/>
      </w:pPr>
    </w:p>
  </w:footnote>
  <w:footnote w:id="2">
    <w:p w14:paraId="158FADE4" w14:textId="77777777" w:rsidR="00257B8B" w:rsidRPr="00DA4B74" w:rsidRDefault="00257B8B" w:rsidP="00257B8B">
      <w:pPr>
        <w:pStyle w:val="FootnoteText"/>
      </w:pPr>
      <w:r w:rsidRPr="00DA4B74">
        <w:rPr>
          <w:rStyle w:val="FootnoteReference"/>
        </w:rPr>
        <w:footnoteRef/>
      </w:r>
      <w:r w:rsidRPr="00DA4B74">
        <w:t xml:space="preserve"> </w:t>
      </w:r>
      <w:r w:rsidR="0047473E" w:rsidRPr="0047473E">
        <w:t xml:space="preserve">Stephen J. Blumberg, Ph.D., and Julian V. Luke.  Wireless Substitution: Early Release of Estimates From the National Health Interview Survey, </w:t>
      </w:r>
      <w:bookmarkStart w:id="0" w:name="_Hlk46862521"/>
      <w:r w:rsidR="0047473E" w:rsidRPr="0047473E">
        <w:t xml:space="preserve">January-June 2019 </w:t>
      </w:r>
      <w:bookmarkEnd w:id="0"/>
      <w:r w:rsidR="0047473E" w:rsidRPr="0047473E">
        <w:t xml:space="preserve">[National Health Interview Survey Early Release Program], National Center for Health Statistics, retrieved from CDC website: </w:t>
      </w:r>
      <w:hyperlink r:id="rId1" w:history="1">
        <w:r w:rsidR="0047473E" w:rsidRPr="006E3DB3">
          <w:rPr>
            <w:rStyle w:val="Hyperlink"/>
          </w:rPr>
          <w:t>https://www.cdc.gov/nchs/data/nhis/earlyrelease/wireless202005-508.pdf</w:t>
        </w:r>
      </w:hyperlink>
      <w:r w:rsidR="0047473E">
        <w:t xml:space="preserve"> </w:t>
      </w:r>
    </w:p>
  </w:footnote>
  <w:footnote w:id="3">
    <w:p w14:paraId="440ED174" w14:textId="77777777" w:rsidR="00257B8B" w:rsidRPr="002917BF" w:rsidRDefault="00257B8B" w:rsidP="00257B8B">
      <w:pPr>
        <w:pStyle w:val="FootnoteText"/>
      </w:pPr>
      <w:r w:rsidRPr="00DA4B74">
        <w:rPr>
          <w:rStyle w:val="FootnoteReference"/>
        </w:rPr>
        <w:footnoteRef/>
      </w:r>
      <w:r w:rsidRPr="00DA4B74">
        <w:t xml:space="preserve"> </w:t>
      </w:r>
      <w:r w:rsidR="0047473E" w:rsidRPr="0047473E">
        <w:t xml:space="preserve">United States Census Bureau, American Community Survey 5-Year Data (2009-2018), retrieved from </w:t>
      </w:r>
      <w:hyperlink r:id="rId2" w:history="1">
        <w:r w:rsidR="0047473E" w:rsidRPr="006E3DB3">
          <w:rPr>
            <w:rStyle w:val="Hyperlink"/>
          </w:rPr>
          <w:t>https://www.census.gov/data/developers/data-sets/acs-5year.html</w:t>
        </w:r>
      </w:hyperlink>
      <w:r w:rsidR="0047473E">
        <w:t xml:space="preserve"> </w:t>
      </w:r>
      <w:r w:rsidR="0047473E" w:rsidRPr="0047473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D67B4"/>
    <w:multiLevelType w:val="hybridMultilevel"/>
    <w:tmpl w:val="5D945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4157C"/>
    <w:multiLevelType w:val="hybridMultilevel"/>
    <w:tmpl w:val="BBDED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8B"/>
    <w:rsid w:val="00022122"/>
    <w:rsid w:val="00043BA8"/>
    <w:rsid w:val="000544DA"/>
    <w:rsid w:val="000A276D"/>
    <w:rsid w:val="000C1A10"/>
    <w:rsid w:val="000C603F"/>
    <w:rsid w:val="001078DE"/>
    <w:rsid w:val="0014717B"/>
    <w:rsid w:val="00191417"/>
    <w:rsid w:val="001D5DB6"/>
    <w:rsid w:val="002467FB"/>
    <w:rsid w:val="00257B8B"/>
    <w:rsid w:val="003453BB"/>
    <w:rsid w:val="00352B49"/>
    <w:rsid w:val="003F5E2E"/>
    <w:rsid w:val="0047473E"/>
    <w:rsid w:val="00482333"/>
    <w:rsid w:val="00497B10"/>
    <w:rsid w:val="004A0D82"/>
    <w:rsid w:val="004A1008"/>
    <w:rsid w:val="004F17EB"/>
    <w:rsid w:val="004F3D79"/>
    <w:rsid w:val="005732B6"/>
    <w:rsid w:val="005833F2"/>
    <w:rsid w:val="0061745C"/>
    <w:rsid w:val="006E04ED"/>
    <w:rsid w:val="00725301"/>
    <w:rsid w:val="0076369A"/>
    <w:rsid w:val="00775419"/>
    <w:rsid w:val="00804640"/>
    <w:rsid w:val="00837B79"/>
    <w:rsid w:val="00850E71"/>
    <w:rsid w:val="0087330C"/>
    <w:rsid w:val="008900FF"/>
    <w:rsid w:val="00895451"/>
    <w:rsid w:val="008A740B"/>
    <w:rsid w:val="009A4B84"/>
    <w:rsid w:val="009A5C0D"/>
    <w:rsid w:val="009A7F47"/>
    <w:rsid w:val="009C50EA"/>
    <w:rsid w:val="00A52489"/>
    <w:rsid w:val="00B61396"/>
    <w:rsid w:val="00B941A6"/>
    <w:rsid w:val="00BF60E2"/>
    <w:rsid w:val="00C41299"/>
    <w:rsid w:val="00C51396"/>
    <w:rsid w:val="00C5174F"/>
    <w:rsid w:val="00C81CCE"/>
    <w:rsid w:val="00C875C1"/>
    <w:rsid w:val="00CF4CDA"/>
    <w:rsid w:val="00D22F15"/>
    <w:rsid w:val="00D70EB7"/>
    <w:rsid w:val="00D93717"/>
    <w:rsid w:val="00D97A40"/>
    <w:rsid w:val="00DA4B74"/>
    <w:rsid w:val="00DD2C1C"/>
    <w:rsid w:val="00DD5488"/>
    <w:rsid w:val="00DF40E7"/>
    <w:rsid w:val="00E60B7C"/>
    <w:rsid w:val="00E644CE"/>
    <w:rsid w:val="00EA6661"/>
    <w:rsid w:val="00EE78E6"/>
    <w:rsid w:val="00F53646"/>
    <w:rsid w:val="00F73A25"/>
    <w:rsid w:val="00F95AA6"/>
    <w:rsid w:val="00FD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16E3"/>
  <w15:chartTrackingRefBased/>
  <w15:docId w15:val="{21670157-E90B-40C9-B11B-33A471D4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7B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B8B"/>
    <w:rPr>
      <w:sz w:val="20"/>
      <w:szCs w:val="20"/>
    </w:rPr>
  </w:style>
  <w:style w:type="character" w:styleId="FootnoteReference">
    <w:name w:val="footnote reference"/>
    <w:basedOn w:val="DefaultParagraphFont"/>
    <w:uiPriority w:val="99"/>
    <w:rsid w:val="00257B8B"/>
    <w:rPr>
      <w:vertAlign w:val="superscript"/>
    </w:rPr>
  </w:style>
  <w:style w:type="character" w:styleId="Hyperlink">
    <w:name w:val="Hyperlink"/>
    <w:basedOn w:val="DefaultParagraphFont"/>
    <w:uiPriority w:val="99"/>
    <w:unhideWhenUsed/>
    <w:rsid w:val="00257B8B"/>
    <w:rPr>
      <w:color w:val="0563C1" w:themeColor="hyperlink"/>
      <w:u w:val="single"/>
    </w:rPr>
  </w:style>
  <w:style w:type="paragraph" w:styleId="BalloonText">
    <w:name w:val="Balloon Text"/>
    <w:basedOn w:val="Normal"/>
    <w:link w:val="BalloonTextChar"/>
    <w:uiPriority w:val="99"/>
    <w:semiHidden/>
    <w:unhideWhenUsed/>
    <w:rsid w:val="00A52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489"/>
    <w:rPr>
      <w:rFonts w:ascii="Segoe UI" w:hAnsi="Segoe UI" w:cs="Segoe UI"/>
      <w:sz w:val="18"/>
      <w:szCs w:val="18"/>
    </w:rPr>
  </w:style>
  <w:style w:type="table" w:styleId="TableGrid">
    <w:name w:val="Table Grid"/>
    <w:basedOn w:val="TableNormal"/>
    <w:uiPriority w:val="39"/>
    <w:rsid w:val="009A5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4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1076">
      <w:bodyDiv w:val="1"/>
      <w:marLeft w:val="0"/>
      <w:marRight w:val="0"/>
      <w:marTop w:val="0"/>
      <w:marBottom w:val="0"/>
      <w:divBdr>
        <w:top w:val="none" w:sz="0" w:space="0" w:color="auto"/>
        <w:left w:val="none" w:sz="0" w:space="0" w:color="auto"/>
        <w:bottom w:val="none" w:sz="0" w:space="0" w:color="auto"/>
        <w:right w:val="none" w:sz="0" w:space="0" w:color="auto"/>
      </w:divBdr>
    </w:div>
    <w:div w:id="460071910">
      <w:bodyDiv w:val="1"/>
      <w:marLeft w:val="0"/>
      <w:marRight w:val="0"/>
      <w:marTop w:val="0"/>
      <w:marBottom w:val="0"/>
      <w:divBdr>
        <w:top w:val="none" w:sz="0" w:space="0" w:color="auto"/>
        <w:left w:val="none" w:sz="0" w:space="0" w:color="auto"/>
        <w:bottom w:val="none" w:sz="0" w:space="0" w:color="auto"/>
        <w:right w:val="none" w:sz="0" w:space="0" w:color="auto"/>
      </w:divBdr>
    </w:div>
    <w:div w:id="513424389">
      <w:bodyDiv w:val="1"/>
      <w:marLeft w:val="0"/>
      <w:marRight w:val="0"/>
      <w:marTop w:val="0"/>
      <w:marBottom w:val="0"/>
      <w:divBdr>
        <w:top w:val="none" w:sz="0" w:space="0" w:color="auto"/>
        <w:left w:val="none" w:sz="0" w:space="0" w:color="auto"/>
        <w:bottom w:val="none" w:sz="0" w:space="0" w:color="auto"/>
        <w:right w:val="none" w:sz="0" w:space="0" w:color="auto"/>
      </w:divBdr>
    </w:div>
    <w:div w:id="639268934">
      <w:bodyDiv w:val="1"/>
      <w:marLeft w:val="0"/>
      <w:marRight w:val="0"/>
      <w:marTop w:val="0"/>
      <w:marBottom w:val="0"/>
      <w:divBdr>
        <w:top w:val="none" w:sz="0" w:space="0" w:color="auto"/>
        <w:left w:val="none" w:sz="0" w:space="0" w:color="auto"/>
        <w:bottom w:val="none" w:sz="0" w:space="0" w:color="auto"/>
        <w:right w:val="none" w:sz="0" w:space="0" w:color="auto"/>
      </w:divBdr>
    </w:div>
    <w:div w:id="701781642">
      <w:bodyDiv w:val="1"/>
      <w:marLeft w:val="0"/>
      <w:marRight w:val="0"/>
      <w:marTop w:val="0"/>
      <w:marBottom w:val="0"/>
      <w:divBdr>
        <w:top w:val="none" w:sz="0" w:space="0" w:color="auto"/>
        <w:left w:val="none" w:sz="0" w:space="0" w:color="auto"/>
        <w:bottom w:val="none" w:sz="0" w:space="0" w:color="auto"/>
        <w:right w:val="none" w:sz="0" w:space="0" w:color="auto"/>
      </w:divBdr>
    </w:div>
    <w:div w:id="835270826">
      <w:bodyDiv w:val="1"/>
      <w:marLeft w:val="0"/>
      <w:marRight w:val="0"/>
      <w:marTop w:val="0"/>
      <w:marBottom w:val="0"/>
      <w:divBdr>
        <w:top w:val="none" w:sz="0" w:space="0" w:color="auto"/>
        <w:left w:val="none" w:sz="0" w:space="0" w:color="auto"/>
        <w:bottom w:val="none" w:sz="0" w:space="0" w:color="auto"/>
        <w:right w:val="none" w:sz="0" w:space="0" w:color="auto"/>
      </w:divBdr>
    </w:div>
    <w:div w:id="853887485">
      <w:bodyDiv w:val="1"/>
      <w:marLeft w:val="0"/>
      <w:marRight w:val="0"/>
      <w:marTop w:val="0"/>
      <w:marBottom w:val="0"/>
      <w:divBdr>
        <w:top w:val="none" w:sz="0" w:space="0" w:color="auto"/>
        <w:left w:val="none" w:sz="0" w:space="0" w:color="auto"/>
        <w:bottom w:val="none" w:sz="0" w:space="0" w:color="auto"/>
        <w:right w:val="none" w:sz="0" w:space="0" w:color="auto"/>
      </w:divBdr>
    </w:div>
    <w:div w:id="859777648">
      <w:bodyDiv w:val="1"/>
      <w:marLeft w:val="0"/>
      <w:marRight w:val="0"/>
      <w:marTop w:val="0"/>
      <w:marBottom w:val="0"/>
      <w:divBdr>
        <w:top w:val="none" w:sz="0" w:space="0" w:color="auto"/>
        <w:left w:val="none" w:sz="0" w:space="0" w:color="auto"/>
        <w:bottom w:val="none" w:sz="0" w:space="0" w:color="auto"/>
        <w:right w:val="none" w:sz="0" w:space="0" w:color="auto"/>
      </w:divBdr>
    </w:div>
    <w:div w:id="868107063">
      <w:bodyDiv w:val="1"/>
      <w:marLeft w:val="0"/>
      <w:marRight w:val="0"/>
      <w:marTop w:val="0"/>
      <w:marBottom w:val="0"/>
      <w:divBdr>
        <w:top w:val="none" w:sz="0" w:space="0" w:color="auto"/>
        <w:left w:val="none" w:sz="0" w:space="0" w:color="auto"/>
        <w:bottom w:val="none" w:sz="0" w:space="0" w:color="auto"/>
        <w:right w:val="none" w:sz="0" w:space="0" w:color="auto"/>
      </w:divBdr>
    </w:div>
    <w:div w:id="870455482">
      <w:bodyDiv w:val="1"/>
      <w:marLeft w:val="0"/>
      <w:marRight w:val="0"/>
      <w:marTop w:val="0"/>
      <w:marBottom w:val="0"/>
      <w:divBdr>
        <w:top w:val="none" w:sz="0" w:space="0" w:color="auto"/>
        <w:left w:val="none" w:sz="0" w:space="0" w:color="auto"/>
        <w:bottom w:val="none" w:sz="0" w:space="0" w:color="auto"/>
        <w:right w:val="none" w:sz="0" w:space="0" w:color="auto"/>
      </w:divBdr>
    </w:div>
    <w:div w:id="900293175">
      <w:bodyDiv w:val="1"/>
      <w:marLeft w:val="0"/>
      <w:marRight w:val="0"/>
      <w:marTop w:val="0"/>
      <w:marBottom w:val="0"/>
      <w:divBdr>
        <w:top w:val="none" w:sz="0" w:space="0" w:color="auto"/>
        <w:left w:val="none" w:sz="0" w:space="0" w:color="auto"/>
        <w:bottom w:val="none" w:sz="0" w:space="0" w:color="auto"/>
        <w:right w:val="none" w:sz="0" w:space="0" w:color="auto"/>
      </w:divBdr>
    </w:div>
    <w:div w:id="925454035">
      <w:bodyDiv w:val="1"/>
      <w:marLeft w:val="0"/>
      <w:marRight w:val="0"/>
      <w:marTop w:val="0"/>
      <w:marBottom w:val="0"/>
      <w:divBdr>
        <w:top w:val="none" w:sz="0" w:space="0" w:color="auto"/>
        <w:left w:val="none" w:sz="0" w:space="0" w:color="auto"/>
        <w:bottom w:val="none" w:sz="0" w:space="0" w:color="auto"/>
        <w:right w:val="none" w:sz="0" w:space="0" w:color="auto"/>
      </w:divBdr>
    </w:div>
    <w:div w:id="1084227728">
      <w:bodyDiv w:val="1"/>
      <w:marLeft w:val="0"/>
      <w:marRight w:val="0"/>
      <w:marTop w:val="0"/>
      <w:marBottom w:val="0"/>
      <w:divBdr>
        <w:top w:val="none" w:sz="0" w:space="0" w:color="auto"/>
        <w:left w:val="none" w:sz="0" w:space="0" w:color="auto"/>
        <w:bottom w:val="none" w:sz="0" w:space="0" w:color="auto"/>
        <w:right w:val="none" w:sz="0" w:space="0" w:color="auto"/>
      </w:divBdr>
    </w:div>
    <w:div w:id="1590852017">
      <w:bodyDiv w:val="1"/>
      <w:marLeft w:val="0"/>
      <w:marRight w:val="0"/>
      <w:marTop w:val="0"/>
      <w:marBottom w:val="0"/>
      <w:divBdr>
        <w:top w:val="none" w:sz="0" w:space="0" w:color="auto"/>
        <w:left w:val="none" w:sz="0" w:space="0" w:color="auto"/>
        <w:bottom w:val="none" w:sz="0" w:space="0" w:color="auto"/>
        <w:right w:val="none" w:sz="0" w:space="0" w:color="auto"/>
      </w:divBdr>
    </w:div>
    <w:div w:id="1828208586">
      <w:bodyDiv w:val="1"/>
      <w:marLeft w:val="0"/>
      <w:marRight w:val="0"/>
      <w:marTop w:val="0"/>
      <w:marBottom w:val="0"/>
      <w:divBdr>
        <w:top w:val="none" w:sz="0" w:space="0" w:color="auto"/>
        <w:left w:val="none" w:sz="0" w:space="0" w:color="auto"/>
        <w:bottom w:val="none" w:sz="0" w:space="0" w:color="auto"/>
        <w:right w:val="none" w:sz="0" w:space="0" w:color="auto"/>
      </w:divBdr>
    </w:div>
    <w:div w:id="1945839562">
      <w:bodyDiv w:val="1"/>
      <w:marLeft w:val="0"/>
      <w:marRight w:val="0"/>
      <w:marTop w:val="0"/>
      <w:marBottom w:val="0"/>
      <w:divBdr>
        <w:top w:val="none" w:sz="0" w:space="0" w:color="auto"/>
        <w:left w:val="none" w:sz="0" w:space="0" w:color="auto"/>
        <w:bottom w:val="none" w:sz="0" w:space="0" w:color="auto"/>
        <w:right w:val="none" w:sz="0" w:space="0" w:color="auto"/>
      </w:divBdr>
    </w:div>
    <w:div w:id="2018967979">
      <w:bodyDiv w:val="1"/>
      <w:marLeft w:val="0"/>
      <w:marRight w:val="0"/>
      <w:marTop w:val="0"/>
      <w:marBottom w:val="0"/>
      <w:divBdr>
        <w:top w:val="none" w:sz="0" w:space="0" w:color="auto"/>
        <w:left w:val="none" w:sz="0" w:space="0" w:color="auto"/>
        <w:bottom w:val="none" w:sz="0" w:space="0" w:color="auto"/>
        <w:right w:val="none" w:sz="0" w:space="0" w:color="auto"/>
      </w:divBdr>
    </w:div>
    <w:div w:id="202428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ensus.gov/data/developers/data-sets/acs-5year.html" TargetMode="External"/><Relationship Id="rId1" Type="http://schemas.openxmlformats.org/officeDocument/2006/relationships/hyperlink" Target="https://www.cdc.gov/nchs/data/nhis/earlyrelease/wireless202005-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3B87F-CDBD-4440-8DDB-686B7152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1132</Words>
  <Characters>6456</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APPENDIX 3</vt:lpstr>
      <vt:lpstr>APPENDIX 4</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DiPerna</dc:creator>
  <cp:keywords/>
  <dc:description/>
  <cp:lastModifiedBy>Paul DiPerna</cp:lastModifiedBy>
  <cp:revision>43</cp:revision>
  <dcterms:created xsi:type="dcterms:W3CDTF">2020-07-29T01:02:00Z</dcterms:created>
  <dcterms:modified xsi:type="dcterms:W3CDTF">2020-12-12T05:14:00Z</dcterms:modified>
</cp:coreProperties>
</file>